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AC" w:rsidRPr="00EE469E" w:rsidRDefault="002C3DAC" w:rsidP="00071A1A">
      <w:pPr>
        <w:spacing w:line="240" w:lineRule="auto"/>
        <w:rPr>
          <w:rFonts w:ascii="Times New Roman" w:hAnsi="Times New Roman"/>
          <w:sz w:val="28"/>
          <w:szCs w:val="28"/>
        </w:rPr>
      </w:pPr>
      <w:bookmarkStart w:id="0" w:name="_GoBack"/>
      <w:bookmarkEnd w:id="0"/>
      <w:r w:rsidRPr="00EE469E">
        <w:rPr>
          <w:rFonts w:ascii="Times New Roman" w:hAnsi="Times New Roman"/>
          <w:sz w:val="28"/>
          <w:szCs w:val="28"/>
        </w:rPr>
        <w:t>Ministru kabineta noteikumu projekta</w:t>
      </w:r>
    </w:p>
    <w:p w:rsidR="002C3DAC" w:rsidRPr="00EE469E" w:rsidRDefault="002C3DAC" w:rsidP="00071A1A">
      <w:pPr>
        <w:spacing w:line="240" w:lineRule="auto"/>
        <w:rPr>
          <w:rFonts w:ascii="Times New Roman" w:hAnsi="Times New Roman"/>
          <w:sz w:val="28"/>
          <w:szCs w:val="28"/>
        </w:rPr>
      </w:pPr>
      <w:r w:rsidRPr="00EE469E">
        <w:rPr>
          <w:rFonts w:ascii="Times New Roman" w:hAnsi="Times New Roman"/>
          <w:sz w:val="28"/>
          <w:szCs w:val="28"/>
        </w:rPr>
        <w:t>„Kārtība, kādā valsts budžetā sabiedriskā transporta pakalpojumu nodrošināšanai reģionālajos vietējās nozīmes maršrutos paredzētos līdzekļus sadala starp plānošanas reģioniem”</w:t>
      </w:r>
      <w:bookmarkStart w:id="1" w:name="OLE_LINK1"/>
      <w:bookmarkStart w:id="2" w:name="OLE_LINK2"/>
    </w:p>
    <w:p w:rsidR="002C3DAC" w:rsidRPr="00EE469E" w:rsidRDefault="002C3DAC" w:rsidP="00071A1A">
      <w:pPr>
        <w:spacing w:line="240" w:lineRule="auto"/>
        <w:rPr>
          <w:rFonts w:ascii="Times New Roman" w:hAnsi="Times New Roman"/>
          <w:bCs/>
          <w:sz w:val="28"/>
          <w:szCs w:val="28"/>
        </w:rPr>
      </w:pPr>
      <w:r w:rsidRPr="00EE469E">
        <w:rPr>
          <w:rFonts w:ascii="Times New Roman" w:hAnsi="Times New Roman"/>
          <w:bCs/>
          <w:sz w:val="28"/>
          <w:szCs w:val="28"/>
        </w:rPr>
        <w:t xml:space="preserve">sākotnējā ietekmes novērtējuma </w:t>
      </w:r>
      <w:smartTag w:uri="schemas-tilde-lv/tildestengine" w:element="veidnes">
        <w:smartTagPr>
          <w:attr w:name="id" w:val="-1"/>
          <w:attr w:name="baseform" w:val="ziņojums"/>
          <w:attr w:name="text" w:val="ziņojums"/>
        </w:smartTagPr>
        <w:r w:rsidRPr="00EE469E">
          <w:rPr>
            <w:rFonts w:ascii="Times New Roman" w:hAnsi="Times New Roman"/>
            <w:bCs/>
            <w:sz w:val="28"/>
            <w:szCs w:val="28"/>
          </w:rPr>
          <w:t>ziņojums</w:t>
        </w:r>
      </w:smartTag>
      <w:r w:rsidRPr="00EE469E">
        <w:rPr>
          <w:rFonts w:ascii="Times New Roman" w:hAnsi="Times New Roman"/>
          <w:bCs/>
          <w:sz w:val="28"/>
          <w:szCs w:val="28"/>
        </w:rPr>
        <w:t xml:space="preserve"> (anotācija</w:t>
      </w:r>
      <w:bookmarkEnd w:id="1"/>
      <w:bookmarkEnd w:id="2"/>
      <w:r w:rsidRPr="00EE469E">
        <w:rPr>
          <w:rFonts w:ascii="Times New Roman" w:hAnsi="Times New Roman"/>
          <w:bCs/>
          <w:sz w:val="28"/>
          <w:szCs w:val="28"/>
        </w:rPr>
        <w:t>)</w:t>
      </w:r>
    </w:p>
    <w:p w:rsidR="002C3DAC" w:rsidRPr="002C561E" w:rsidRDefault="002C3DAC" w:rsidP="00071A1A">
      <w:pPr>
        <w:tabs>
          <w:tab w:val="center" w:pos="4535"/>
          <w:tab w:val="left" w:pos="6945"/>
        </w:tabs>
        <w:spacing w:line="240" w:lineRule="auto"/>
        <w:jc w:val="both"/>
        <w:rPr>
          <w:rFonts w:ascii="Times New Roman" w:hAnsi="Times New Roman"/>
          <w:sz w:val="28"/>
          <w:szCs w:val="28"/>
          <w:lang w:eastAsia="lv-LV"/>
        </w:rPr>
      </w:pPr>
      <w:r w:rsidRPr="002C561E">
        <w:rPr>
          <w:rFonts w:ascii="Times New Roman" w:hAnsi="Times New Roman"/>
          <w:sz w:val="28"/>
          <w:szCs w:val="28"/>
          <w:lang w:eastAsia="lv-LV"/>
        </w:rPr>
        <w:tab/>
        <w:t> </w:t>
      </w:r>
      <w:r w:rsidRPr="002C561E">
        <w:rPr>
          <w:rFonts w:ascii="Times New Roman" w:hAnsi="Times New Roman"/>
          <w:sz w:val="28"/>
          <w:szCs w:val="28"/>
          <w:lang w:eastAsia="lv-LV"/>
        </w:rPr>
        <w:tab/>
      </w:r>
    </w:p>
    <w:p w:rsidR="002C3DAC" w:rsidRPr="002C561E" w:rsidRDefault="002C3DAC" w:rsidP="00071A1A">
      <w:pPr>
        <w:tabs>
          <w:tab w:val="center" w:pos="4535"/>
          <w:tab w:val="left" w:pos="6945"/>
        </w:tabs>
        <w:spacing w:line="240" w:lineRule="auto"/>
        <w:jc w:val="both"/>
        <w:rPr>
          <w:rFonts w:ascii="Times New Roman" w:hAnsi="Times New Roman"/>
          <w:sz w:val="28"/>
          <w:szCs w:val="28"/>
          <w:lang w:eastAsia="lv-LV"/>
        </w:rPr>
      </w:pPr>
    </w:p>
    <w:tbl>
      <w:tblPr>
        <w:tblW w:w="8640" w:type="dxa"/>
        <w:jc w:val="center"/>
        <w:tblCellSpacing w:w="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512"/>
        <w:gridCol w:w="3457"/>
        <w:gridCol w:w="4671"/>
      </w:tblGrid>
      <w:tr w:rsidR="002C3DAC" w:rsidRPr="00031BC7" w:rsidTr="00605B74">
        <w:trPr>
          <w:trHeight w:val="249"/>
          <w:tblCellSpacing w:w="0" w:type="dxa"/>
          <w:jc w:val="center"/>
        </w:trPr>
        <w:tc>
          <w:tcPr>
            <w:tcW w:w="8640" w:type="dxa"/>
            <w:gridSpan w:val="3"/>
            <w:vAlign w:val="center"/>
          </w:tcPr>
          <w:p w:rsidR="002C3DAC" w:rsidRPr="00031BC7" w:rsidRDefault="002C3DAC" w:rsidP="00031BC7">
            <w:pPr>
              <w:spacing w:before="94" w:after="94" w:line="240" w:lineRule="auto"/>
              <w:jc w:val="left"/>
              <w:rPr>
                <w:rFonts w:ascii="Times New Roman" w:hAnsi="Times New Roman"/>
                <w:sz w:val="24"/>
                <w:szCs w:val="24"/>
                <w:lang w:eastAsia="lv-LV"/>
              </w:rPr>
            </w:pPr>
            <w:r w:rsidRPr="00031BC7">
              <w:rPr>
                <w:rFonts w:ascii="Times New Roman" w:hAnsi="Times New Roman"/>
                <w:b/>
                <w:bCs/>
                <w:sz w:val="24"/>
                <w:szCs w:val="24"/>
                <w:lang w:eastAsia="lv-LV"/>
              </w:rPr>
              <w:t> I. Tiesību akta projekta izstrādes nepieciešamība</w:t>
            </w:r>
          </w:p>
        </w:tc>
      </w:tr>
      <w:tr w:rsidR="002C3DAC" w:rsidRPr="00031BC7" w:rsidTr="00605B74">
        <w:trPr>
          <w:trHeight w:val="630"/>
          <w:tblCellSpacing w:w="0" w:type="dxa"/>
          <w:jc w:val="center"/>
        </w:trPr>
        <w:tc>
          <w:tcPr>
            <w:tcW w:w="512" w:type="dxa"/>
          </w:tcPr>
          <w:p w:rsidR="002C3DAC" w:rsidRPr="00031BC7" w:rsidRDefault="002C3DAC" w:rsidP="00031BC7">
            <w:pPr>
              <w:spacing w:before="94" w:after="94" w:line="240" w:lineRule="auto"/>
              <w:jc w:val="left"/>
              <w:rPr>
                <w:rFonts w:ascii="Times New Roman" w:hAnsi="Times New Roman"/>
                <w:sz w:val="24"/>
                <w:szCs w:val="24"/>
                <w:lang w:eastAsia="lv-LV"/>
              </w:rPr>
            </w:pPr>
            <w:r w:rsidRPr="00031BC7">
              <w:rPr>
                <w:rFonts w:ascii="Times New Roman" w:hAnsi="Times New Roman"/>
                <w:sz w:val="24"/>
                <w:szCs w:val="24"/>
                <w:lang w:eastAsia="lv-LV"/>
              </w:rPr>
              <w:t> 1.</w:t>
            </w:r>
          </w:p>
        </w:tc>
        <w:tc>
          <w:tcPr>
            <w:tcW w:w="3457" w:type="dxa"/>
          </w:tcPr>
          <w:p w:rsidR="002C3DAC" w:rsidRPr="00031BC7" w:rsidRDefault="002C3DAC" w:rsidP="00EE469E">
            <w:pPr>
              <w:spacing w:before="94" w:after="94" w:line="240" w:lineRule="auto"/>
              <w:rPr>
                <w:rFonts w:ascii="Times New Roman" w:hAnsi="Times New Roman"/>
                <w:sz w:val="24"/>
                <w:szCs w:val="24"/>
                <w:lang w:eastAsia="lv-LV"/>
              </w:rPr>
            </w:pPr>
            <w:r w:rsidRPr="00031BC7">
              <w:rPr>
                <w:rFonts w:ascii="Times New Roman" w:hAnsi="Times New Roman"/>
                <w:sz w:val="24"/>
                <w:szCs w:val="24"/>
                <w:lang w:eastAsia="lv-LV"/>
              </w:rPr>
              <w:t>Pamatojums</w:t>
            </w:r>
          </w:p>
        </w:tc>
        <w:tc>
          <w:tcPr>
            <w:tcW w:w="4671" w:type="dxa"/>
          </w:tcPr>
          <w:p w:rsidR="002C3DAC" w:rsidRPr="00031BC7" w:rsidRDefault="002C3DAC" w:rsidP="006245AD">
            <w:pPr>
              <w:spacing w:before="94" w:after="94" w:line="240" w:lineRule="auto"/>
              <w:jc w:val="both"/>
              <w:rPr>
                <w:rFonts w:ascii="Times New Roman" w:hAnsi="Times New Roman"/>
                <w:sz w:val="24"/>
                <w:szCs w:val="24"/>
                <w:lang w:eastAsia="lv-LV"/>
              </w:rPr>
            </w:pPr>
            <w:r w:rsidRPr="00031BC7">
              <w:rPr>
                <w:rFonts w:ascii="Times New Roman" w:hAnsi="Times New Roman"/>
                <w:sz w:val="24"/>
                <w:szCs w:val="24"/>
              </w:rPr>
              <w:t>Sabiedriskā transporta pakalpojumu likuma 11.panta otrās daļas 3.apakšpunkts</w:t>
            </w:r>
            <w:r>
              <w:rPr>
                <w:rFonts w:ascii="Times New Roman" w:hAnsi="Times New Roman"/>
                <w:sz w:val="24"/>
                <w:szCs w:val="24"/>
              </w:rPr>
              <w:t>.</w:t>
            </w:r>
          </w:p>
        </w:tc>
      </w:tr>
      <w:tr w:rsidR="002C3DAC" w:rsidRPr="00031BC7" w:rsidTr="00605B74">
        <w:trPr>
          <w:trHeight w:val="8890"/>
          <w:tblCellSpacing w:w="0" w:type="dxa"/>
          <w:jc w:val="center"/>
        </w:trPr>
        <w:tc>
          <w:tcPr>
            <w:tcW w:w="512" w:type="dxa"/>
          </w:tcPr>
          <w:p w:rsidR="002C3DAC" w:rsidRPr="00031BC7" w:rsidRDefault="002C3DAC" w:rsidP="00031BC7">
            <w:pPr>
              <w:spacing w:before="94" w:after="94" w:line="240" w:lineRule="auto"/>
              <w:jc w:val="left"/>
              <w:rPr>
                <w:rFonts w:ascii="Times New Roman" w:hAnsi="Times New Roman"/>
                <w:sz w:val="24"/>
                <w:szCs w:val="24"/>
                <w:lang w:eastAsia="lv-LV"/>
              </w:rPr>
            </w:pPr>
            <w:r w:rsidRPr="00031BC7">
              <w:rPr>
                <w:rFonts w:ascii="Times New Roman" w:hAnsi="Times New Roman"/>
                <w:sz w:val="24"/>
                <w:szCs w:val="24"/>
                <w:lang w:eastAsia="lv-LV"/>
              </w:rPr>
              <w:t> 2.</w:t>
            </w:r>
          </w:p>
        </w:tc>
        <w:tc>
          <w:tcPr>
            <w:tcW w:w="3457" w:type="dxa"/>
          </w:tcPr>
          <w:p w:rsidR="002C3DAC" w:rsidRPr="00031BC7" w:rsidRDefault="002C3DAC" w:rsidP="00EE469E">
            <w:pPr>
              <w:spacing w:before="94" w:after="94" w:line="240" w:lineRule="auto"/>
              <w:rPr>
                <w:rFonts w:ascii="Times New Roman" w:hAnsi="Times New Roman"/>
                <w:sz w:val="24"/>
                <w:szCs w:val="24"/>
                <w:lang w:eastAsia="lv-LV"/>
              </w:rPr>
            </w:pPr>
            <w:r w:rsidRPr="00031BC7">
              <w:rPr>
                <w:rFonts w:ascii="Times New Roman" w:hAnsi="Times New Roman"/>
                <w:sz w:val="24"/>
                <w:szCs w:val="24"/>
                <w:lang w:eastAsia="lv-LV"/>
              </w:rPr>
              <w:t>Pašreizējā situācija un problēmas</w:t>
            </w:r>
          </w:p>
        </w:tc>
        <w:tc>
          <w:tcPr>
            <w:tcW w:w="4671" w:type="dxa"/>
          </w:tcPr>
          <w:p w:rsidR="002C3DAC" w:rsidRPr="00031BC7" w:rsidRDefault="002C3DAC" w:rsidP="00031BC7">
            <w:pPr>
              <w:spacing w:line="240" w:lineRule="auto"/>
              <w:jc w:val="both"/>
              <w:rPr>
                <w:rFonts w:ascii="Times New Roman" w:hAnsi="Times New Roman"/>
                <w:sz w:val="24"/>
                <w:szCs w:val="24"/>
              </w:rPr>
            </w:pPr>
            <w:r w:rsidRPr="00031BC7">
              <w:rPr>
                <w:rFonts w:ascii="Times New Roman" w:hAnsi="Times New Roman"/>
                <w:sz w:val="24"/>
                <w:szCs w:val="24"/>
              </w:rPr>
              <w:t>Saskaņā ar Sabiedriskā transporta pakalpojumu likuma Pārejas noteikumu 14.punktu ar 2010.gada 1.janvāri rajonu pašvaldību funkcijas sabiedriskā transporta pakalpojumu organizēšanā pārņem plānošanas reģioni, līdz ar to pārņemot arī pienākumu attiecībā uz valsts budžeta līdzekļu racionālu izmantošanu un apsaimniekošanu, organizējot sabiedriskā transporta pakalpojumus reģionālos vietējās nozīmes maršrutos.</w:t>
            </w:r>
          </w:p>
          <w:p w:rsidR="002C3DAC" w:rsidRPr="00031BC7" w:rsidRDefault="002C3DAC" w:rsidP="00031BC7">
            <w:pPr>
              <w:spacing w:line="240" w:lineRule="auto"/>
              <w:jc w:val="both"/>
              <w:rPr>
                <w:rFonts w:ascii="Times New Roman" w:hAnsi="Times New Roman"/>
                <w:sz w:val="24"/>
                <w:szCs w:val="24"/>
              </w:rPr>
            </w:pPr>
            <w:r w:rsidRPr="00031BC7">
              <w:rPr>
                <w:rFonts w:ascii="Times New Roman" w:hAnsi="Times New Roman"/>
                <w:sz w:val="24"/>
                <w:szCs w:val="24"/>
              </w:rPr>
              <w:t>Pašlaik katrā plānošanas reģionā ir atšķirīga sociālekonomiskā situācija, ņemot vērā bezdarba līmeni, valsts un pašvaldību, medicīnas un izglītības iestāžu skaitu, kā arī ceļu stāvokli. Līdz ar to pārvadātāju zaudējumi ir atkarīgi no minētajiem apstākļiem.</w:t>
            </w:r>
          </w:p>
          <w:p w:rsidR="002C3DAC" w:rsidRPr="00031BC7" w:rsidRDefault="002C3DAC" w:rsidP="00031BC7">
            <w:pPr>
              <w:spacing w:line="240" w:lineRule="auto"/>
              <w:jc w:val="both"/>
              <w:rPr>
                <w:rFonts w:ascii="Times New Roman" w:hAnsi="Times New Roman"/>
                <w:sz w:val="24"/>
                <w:szCs w:val="24"/>
              </w:rPr>
            </w:pPr>
            <w:r w:rsidRPr="00031BC7">
              <w:rPr>
                <w:rFonts w:ascii="Times New Roman" w:hAnsi="Times New Roman"/>
                <w:sz w:val="24"/>
                <w:szCs w:val="24"/>
              </w:rPr>
              <w:t xml:space="preserve">Ņemot vērā plānošanas reģionu izteikto viedokli, ka spēkā esošie 2009.gada 22.decembra Ministru kabineta noteikumi Nr.1614 „Noteikumi par valsts budžeta līdzekļu sadalīšanu plānošanas reģioniem sabiedriskā transporta pakalpojumu nodrošināšanai reģionālajos vietējās nozīmes maršrutos” neveicina sabiedriskā transporta pakalpojumu sniedzēju reģionālajā vietējās nozīmes maršrutu tīklā darbības efektivitātes paaugstināšanu, jo, sadalot dotācijas plānošanas reģioniem nākamajam kalendāra gadam, tiek ņemti vērā iepriekšējā gada  pirmo trīs ceturkšņu faktiskie zaudējumi. Līdz ar to lielāka dotācijas daļa tiek piešķirta plānošanas reģionam, kam bijuši lielākie zaudējumi, bet sabiedriskā transporta pakalpojumu sniedzēji nav ieinteresēti samazināt zaudējumu un viena kilometra pašizmaksas apmēru. Sadalot dotāciju plānošanas reģioniem, otra dotācijas daļa tiek koriģēta, pamatojoties uz plānošanas reģionu rādītājiem (iedzīvotāju blīvums, skolu skaits, grants ceļu īpatsvars, bezdarba līmenis, strādājošo vidējā darba samaksa, valsts un pašvaldību iestāžu skaits, ārstniecības iestāžu skaits) piemērotajiem koeficientiem. Ņemot vērā lielo koeficientu skaitu (kopā 7) un koeficientu noteikšanas kārtību, dotācija starp plānošanas reģioniem netiek sadalīta objektīvi. </w:t>
            </w:r>
          </w:p>
          <w:p w:rsidR="002C3DAC" w:rsidRPr="00031BC7" w:rsidRDefault="002C3DAC" w:rsidP="00031BC7">
            <w:pPr>
              <w:spacing w:line="240" w:lineRule="auto"/>
              <w:jc w:val="both"/>
              <w:rPr>
                <w:rFonts w:ascii="Times New Roman" w:hAnsi="Times New Roman"/>
                <w:sz w:val="24"/>
                <w:szCs w:val="24"/>
              </w:rPr>
            </w:pPr>
            <w:r w:rsidRPr="00031BC7">
              <w:rPr>
                <w:rFonts w:ascii="Times New Roman" w:hAnsi="Times New Roman"/>
                <w:sz w:val="24"/>
                <w:szCs w:val="24"/>
              </w:rPr>
              <w:t xml:space="preserve">Ņemot vērā plānošanas reģionu izteiktos priekšlikumus dotāciju sadalei starp plānošanas reģioniem, ir izstrādāti Ministru kabineta noteikumi, kas paredz pilnībā mainīt pašreiz spēkā esošo dotāciju sadales kārtību plānošanas reģioniem. Dotāciju sadales kārtība paredz piešķirt lielāku dotāciju plānošanas reģionam, kurš iepriekšējā pārskata periodā ir strādājis efektīvāk, t.i., ar zemāku vidējo viena kilometra pašizmaksu. Metodikā ir paredzēts samazināt kritēriju skaitu un mainīt kritērijus, kas tiek ņemti vērā dotāciju sadalē. Līdz ar to rādītāju skaits ir samazināts līdz 5 (viena kilometra pašizmaksa, ieņēmumi uz vienu kilometru, grants ceļu īpatsvars, vidējais autobusu noslogojums, sociālo objektu skaits). Metodika paredz noteikt rādītāju īpatsvaru aprēķinā, tā kādam no kritērijiem piešķirot lielāku nozīmi un kādam mazāku nozīmi. </w:t>
            </w:r>
          </w:p>
        </w:tc>
      </w:tr>
      <w:tr w:rsidR="002C3DAC" w:rsidRPr="00031BC7" w:rsidTr="00605B74">
        <w:trPr>
          <w:trHeight w:val="787"/>
          <w:tblCellSpacing w:w="0" w:type="dxa"/>
          <w:jc w:val="center"/>
        </w:trPr>
        <w:tc>
          <w:tcPr>
            <w:tcW w:w="512" w:type="dxa"/>
          </w:tcPr>
          <w:p w:rsidR="002C3DAC" w:rsidRPr="00031BC7" w:rsidRDefault="002C3DAC" w:rsidP="00031BC7">
            <w:pPr>
              <w:spacing w:before="94" w:after="94" w:line="240" w:lineRule="auto"/>
              <w:jc w:val="left"/>
              <w:rPr>
                <w:rFonts w:ascii="Times New Roman" w:hAnsi="Times New Roman"/>
                <w:sz w:val="24"/>
                <w:szCs w:val="24"/>
                <w:lang w:eastAsia="lv-LV"/>
              </w:rPr>
            </w:pPr>
            <w:r w:rsidRPr="00031BC7">
              <w:rPr>
                <w:rFonts w:ascii="Times New Roman" w:hAnsi="Times New Roman"/>
                <w:sz w:val="24"/>
                <w:szCs w:val="24"/>
                <w:lang w:eastAsia="lv-LV"/>
              </w:rPr>
              <w:t> 3.</w:t>
            </w:r>
          </w:p>
        </w:tc>
        <w:tc>
          <w:tcPr>
            <w:tcW w:w="3457" w:type="dxa"/>
          </w:tcPr>
          <w:p w:rsidR="002C3DAC" w:rsidRPr="00031BC7" w:rsidRDefault="002C3DAC" w:rsidP="00EE469E">
            <w:pPr>
              <w:spacing w:before="94" w:after="94" w:line="240" w:lineRule="auto"/>
              <w:rPr>
                <w:rFonts w:ascii="Times New Roman" w:hAnsi="Times New Roman"/>
                <w:sz w:val="24"/>
                <w:szCs w:val="24"/>
                <w:lang w:eastAsia="lv-LV"/>
              </w:rPr>
            </w:pPr>
            <w:r w:rsidRPr="00031BC7">
              <w:rPr>
                <w:rFonts w:ascii="Times New Roman" w:hAnsi="Times New Roman"/>
                <w:sz w:val="24"/>
                <w:szCs w:val="24"/>
                <w:lang w:eastAsia="lv-LV"/>
              </w:rPr>
              <w:t>Saistītie politikas ietekmes novērtējumi un pētījumi</w:t>
            </w:r>
          </w:p>
        </w:tc>
        <w:tc>
          <w:tcPr>
            <w:tcW w:w="4671" w:type="dxa"/>
          </w:tcPr>
          <w:p w:rsidR="002C3DAC" w:rsidRPr="00031BC7" w:rsidRDefault="002C3DAC" w:rsidP="00031BC7">
            <w:pPr>
              <w:spacing w:before="94" w:after="94" w:line="240" w:lineRule="auto"/>
              <w:jc w:val="both"/>
              <w:rPr>
                <w:rFonts w:ascii="Times New Roman" w:hAnsi="Times New Roman"/>
                <w:sz w:val="24"/>
                <w:szCs w:val="24"/>
                <w:lang w:eastAsia="lv-LV"/>
              </w:rPr>
            </w:pPr>
            <w:r w:rsidRPr="00031BC7">
              <w:rPr>
                <w:rFonts w:ascii="Times New Roman" w:hAnsi="Times New Roman"/>
                <w:sz w:val="24"/>
                <w:szCs w:val="24"/>
                <w:lang w:eastAsia="lv-LV"/>
              </w:rPr>
              <w:t>Projekts šo jomu neskar.</w:t>
            </w:r>
          </w:p>
        </w:tc>
      </w:tr>
      <w:tr w:rsidR="002C3DAC" w:rsidRPr="00031BC7" w:rsidTr="00605B74">
        <w:trPr>
          <w:trHeight w:val="384"/>
          <w:tblCellSpacing w:w="0" w:type="dxa"/>
          <w:jc w:val="center"/>
        </w:trPr>
        <w:tc>
          <w:tcPr>
            <w:tcW w:w="512" w:type="dxa"/>
          </w:tcPr>
          <w:p w:rsidR="002C3DAC" w:rsidRPr="00031BC7" w:rsidRDefault="002C3DAC" w:rsidP="00031BC7">
            <w:pPr>
              <w:spacing w:before="94" w:after="94" w:line="240" w:lineRule="auto"/>
              <w:jc w:val="left"/>
              <w:rPr>
                <w:rFonts w:ascii="Times New Roman" w:hAnsi="Times New Roman"/>
                <w:sz w:val="24"/>
                <w:szCs w:val="24"/>
                <w:lang w:eastAsia="lv-LV"/>
              </w:rPr>
            </w:pPr>
            <w:r w:rsidRPr="00031BC7">
              <w:rPr>
                <w:rFonts w:ascii="Times New Roman" w:hAnsi="Times New Roman"/>
                <w:sz w:val="24"/>
                <w:szCs w:val="24"/>
                <w:lang w:eastAsia="lv-LV"/>
              </w:rPr>
              <w:t> 4.</w:t>
            </w:r>
          </w:p>
        </w:tc>
        <w:tc>
          <w:tcPr>
            <w:tcW w:w="3457" w:type="dxa"/>
          </w:tcPr>
          <w:p w:rsidR="002C3DAC" w:rsidRPr="00031BC7" w:rsidRDefault="002C3DAC" w:rsidP="00EE469E">
            <w:pPr>
              <w:spacing w:before="94" w:after="94" w:line="240" w:lineRule="auto"/>
              <w:rPr>
                <w:rFonts w:ascii="Times New Roman" w:hAnsi="Times New Roman"/>
                <w:sz w:val="24"/>
                <w:szCs w:val="24"/>
                <w:lang w:eastAsia="lv-LV"/>
              </w:rPr>
            </w:pPr>
            <w:r w:rsidRPr="00031BC7">
              <w:rPr>
                <w:rFonts w:ascii="Times New Roman" w:hAnsi="Times New Roman"/>
                <w:sz w:val="24"/>
                <w:szCs w:val="24"/>
                <w:lang w:eastAsia="lv-LV"/>
              </w:rPr>
              <w:t>Tiesiskā regulējuma mērķis un būtība</w:t>
            </w:r>
          </w:p>
        </w:tc>
        <w:tc>
          <w:tcPr>
            <w:tcW w:w="4671" w:type="dxa"/>
          </w:tcPr>
          <w:p w:rsidR="002C3DAC" w:rsidRPr="00031BC7" w:rsidRDefault="002C3DAC" w:rsidP="00031BC7">
            <w:pPr>
              <w:spacing w:line="240" w:lineRule="auto"/>
              <w:jc w:val="both"/>
              <w:rPr>
                <w:rFonts w:ascii="Times New Roman" w:hAnsi="Times New Roman"/>
                <w:sz w:val="24"/>
                <w:szCs w:val="24"/>
              </w:rPr>
            </w:pPr>
            <w:r w:rsidRPr="00031BC7">
              <w:rPr>
                <w:rFonts w:ascii="Times New Roman" w:hAnsi="Times New Roman"/>
                <w:sz w:val="24"/>
                <w:szCs w:val="24"/>
              </w:rPr>
              <w:t>Ministru kabineta noteikumu projekts nosaka sabiedriskā transporta pakalpojumu nodrošināšanai paredzēto valsts budžeta līdzekļu sadales kārtību starp plānošanas reģioniem zaudējumu segšanai pārvadātājiem reģionālajā vietējās nozīmes maršrutu tīklā.</w:t>
            </w:r>
          </w:p>
          <w:p w:rsidR="002C3DAC" w:rsidRPr="00031BC7" w:rsidRDefault="002C3DAC" w:rsidP="00031BC7">
            <w:pPr>
              <w:spacing w:line="240" w:lineRule="auto"/>
              <w:jc w:val="both"/>
              <w:rPr>
                <w:rFonts w:ascii="Times New Roman" w:hAnsi="Times New Roman"/>
                <w:sz w:val="24"/>
                <w:szCs w:val="24"/>
              </w:rPr>
            </w:pPr>
            <w:r w:rsidRPr="00031BC7">
              <w:rPr>
                <w:rFonts w:ascii="Times New Roman" w:hAnsi="Times New Roman"/>
                <w:sz w:val="24"/>
                <w:szCs w:val="24"/>
              </w:rPr>
              <w:t xml:space="preserve">Ministru kabineta noteikumi paredz pilnībā mainīt pašreiz spēkā esošo dotāciju sadales kārtību plānošanas reģioniem. Metodikā ir paredzēts samazināt kritēriju skaitu un mainīt kritērijus, kas tiek ņemti vērā dotāciju sadalē. Līdz ar to rādītāju skaits ir samazināts līdz 5 (viena kilometra pašizmaksa, ieņēmumi uz vienu kilometru, grants ceļu īpatsvars, vidējais autobusu noslogojums, sociālo objektu skaits). Metodika paredz noteikt rādītāju īpatsvaru aprēķinā, tā kādam no kritērijiem piešķirot lielāku nozīmi un kādam mazāku nozīmi. </w:t>
            </w:r>
          </w:p>
          <w:p w:rsidR="002C3DAC" w:rsidRDefault="002C3DAC" w:rsidP="00031BC7">
            <w:pPr>
              <w:spacing w:line="240" w:lineRule="auto"/>
              <w:jc w:val="both"/>
              <w:rPr>
                <w:rFonts w:ascii="Times New Roman" w:hAnsi="Times New Roman"/>
                <w:sz w:val="24"/>
                <w:szCs w:val="24"/>
              </w:rPr>
            </w:pPr>
            <w:r w:rsidRPr="00031BC7">
              <w:rPr>
                <w:rFonts w:ascii="Times New Roman" w:hAnsi="Times New Roman"/>
                <w:sz w:val="24"/>
                <w:szCs w:val="24"/>
              </w:rPr>
              <w:t xml:space="preserve">Ar izstrādātajiem Ministru kabineta noteikumiem, veicot finansējuma sadali plānošanas reģioniem nākamajam kalendāra gadam, valsts sabiedrība ar ierobežotu atbildību </w:t>
            </w:r>
            <w:r>
              <w:rPr>
                <w:rFonts w:ascii="Times New Roman" w:hAnsi="Times New Roman"/>
                <w:sz w:val="24"/>
                <w:szCs w:val="24"/>
              </w:rPr>
              <w:t>„</w:t>
            </w:r>
            <w:r w:rsidRPr="00031BC7">
              <w:rPr>
                <w:rFonts w:ascii="Times New Roman" w:hAnsi="Times New Roman"/>
                <w:sz w:val="24"/>
                <w:szCs w:val="24"/>
              </w:rPr>
              <w:t>Autotransporta direkcija</w:t>
            </w:r>
            <w:r>
              <w:rPr>
                <w:rFonts w:ascii="Times New Roman" w:hAnsi="Times New Roman"/>
                <w:sz w:val="24"/>
                <w:szCs w:val="24"/>
              </w:rPr>
              <w:t>”</w:t>
            </w:r>
            <w:r w:rsidRPr="00031BC7">
              <w:rPr>
                <w:rFonts w:ascii="Times New Roman" w:hAnsi="Times New Roman"/>
                <w:sz w:val="24"/>
                <w:szCs w:val="24"/>
              </w:rPr>
              <w:t xml:space="preserve"> vairs neņems vērā sekojošu informāciju – pārvadātāju zaudējumi, iedzīvotāju blīvums, bezdarba līmenis, strādājošo vidējā darba samaksa, taču papildus tiks ņemti vērā sekojoši parametri - pārvadātāju viena kilometra pašizmaksa, ieņēmumi uz vienu kilometru, vidējais autobusu noslogojums.</w:t>
            </w:r>
          </w:p>
          <w:p w:rsidR="002C3DAC" w:rsidRPr="00031BC7" w:rsidRDefault="002C3DAC" w:rsidP="00A601AC">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Ministru kabineta </w:t>
            </w:r>
            <w:r w:rsidRPr="00A601AC">
              <w:rPr>
                <w:rFonts w:ascii="Times New Roman" w:hAnsi="Times New Roman"/>
                <w:bCs/>
                <w:sz w:val="24"/>
                <w:szCs w:val="24"/>
              </w:rPr>
              <w:t>noteikumu projekt</w:t>
            </w:r>
            <w:r>
              <w:rPr>
                <w:rFonts w:ascii="Times New Roman" w:hAnsi="Times New Roman"/>
                <w:bCs/>
                <w:sz w:val="24"/>
                <w:szCs w:val="24"/>
              </w:rPr>
              <w:t>ā paredzētā jaunā valsts budžeta</w:t>
            </w:r>
            <w:r w:rsidRPr="00A601AC">
              <w:rPr>
                <w:rFonts w:ascii="Times New Roman" w:hAnsi="Times New Roman"/>
                <w:bCs/>
                <w:sz w:val="24"/>
                <w:szCs w:val="24"/>
              </w:rPr>
              <w:t xml:space="preserve"> līdzekļu sadales sistēma starp plānošanas reģioniem zaudējumu s</w:t>
            </w:r>
            <w:r>
              <w:rPr>
                <w:rFonts w:ascii="Times New Roman" w:hAnsi="Times New Roman"/>
                <w:bCs/>
                <w:sz w:val="24"/>
                <w:szCs w:val="24"/>
              </w:rPr>
              <w:t>egšanai pārvadātājiem reģionālajā</w:t>
            </w:r>
            <w:r w:rsidRPr="00A601AC">
              <w:rPr>
                <w:rFonts w:ascii="Times New Roman" w:hAnsi="Times New Roman"/>
                <w:bCs/>
                <w:sz w:val="24"/>
                <w:szCs w:val="24"/>
              </w:rPr>
              <w:t xml:space="preserve"> vietējās nozīmes maršruta tīklā tieši neietekmēs sabiedriskā transporta pakalpojumu nodrošināšanu</w:t>
            </w:r>
            <w:r>
              <w:rPr>
                <w:rFonts w:ascii="Times New Roman" w:hAnsi="Times New Roman"/>
                <w:bCs/>
                <w:sz w:val="24"/>
                <w:szCs w:val="24"/>
              </w:rPr>
              <w:t xml:space="preserve"> un sabiedriskā transporta pakalpojumu pieejamību</w:t>
            </w:r>
            <w:r w:rsidRPr="00A601AC">
              <w:rPr>
                <w:rFonts w:ascii="Times New Roman" w:hAnsi="Times New Roman"/>
                <w:bCs/>
                <w:sz w:val="24"/>
                <w:szCs w:val="24"/>
              </w:rPr>
              <w:t xml:space="preserve"> reģionālajos vietējās nozīmes maršrutos. </w:t>
            </w:r>
          </w:p>
        </w:tc>
      </w:tr>
      <w:tr w:rsidR="002C3DAC" w:rsidRPr="00031BC7" w:rsidTr="00605B74">
        <w:trPr>
          <w:trHeight w:val="476"/>
          <w:tblCellSpacing w:w="0" w:type="dxa"/>
          <w:jc w:val="center"/>
        </w:trPr>
        <w:tc>
          <w:tcPr>
            <w:tcW w:w="512" w:type="dxa"/>
          </w:tcPr>
          <w:p w:rsidR="002C3DAC" w:rsidRPr="00031BC7" w:rsidRDefault="002C3DAC" w:rsidP="00031BC7">
            <w:pPr>
              <w:spacing w:before="94" w:after="94" w:line="240" w:lineRule="auto"/>
              <w:jc w:val="left"/>
              <w:rPr>
                <w:rFonts w:ascii="Times New Roman" w:hAnsi="Times New Roman"/>
                <w:sz w:val="24"/>
                <w:szCs w:val="24"/>
                <w:lang w:eastAsia="lv-LV"/>
              </w:rPr>
            </w:pPr>
            <w:r w:rsidRPr="00031BC7">
              <w:rPr>
                <w:rFonts w:ascii="Times New Roman" w:hAnsi="Times New Roman"/>
                <w:sz w:val="24"/>
                <w:szCs w:val="24"/>
                <w:lang w:eastAsia="lv-LV"/>
              </w:rPr>
              <w:t> 5.</w:t>
            </w:r>
          </w:p>
        </w:tc>
        <w:tc>
          <w:tcPr>
            <w:tcW w:w="3457" w:type="dxa"/>
          </w:tcPr>
          <w:p w:rsidR="002C3DAC" w:rsidRPr="00031BC7" w:rsidRDefault="002C3DAC" w:rsidP="00EE469E">
            <w:pPr>
              <w:spacing w:before="94" w:after="94" w:line="240" w:lineRule="auto"/>
              <w:rPr>
                <w:rFonts w:ascii="Times New Roman" w:hAnsi="Times New Roman"/>
                <w:sz w:val="24"/>
                <w:szCs w:val="24"/>
                <w:lang w:eastAsia="lv-LV"/>
              </w:rPr>
            </w:pPr>
            <w:r w:rsidRPr="00031BC7">
              <w:rPr>
                <w:rFonts w:ascii="Times New Roman" w:hAnsi="Times New Roman"/>
                <w:sz w:val="24"/>
                <w:szCs w:val="24"/>
                <w:lang w:eastAsia="lv-LV"/>
              </w:rPr>
              <w:t>Projekta izstrādē iesaistītās institūcijas</w:t>
            </w:r>
          </w:p>
        </w:tc>
        <w:tc>
          <w:tcPr>
            <w:tcW w:w="4671" w:type="dxa"/>
          </w:tcPr>
          <w:p w:rsidR="002C3DAC" w:rsidRPr="00031BC7" w:rsidRDefault="002C3DAC" w:rsidP="00031BC7">
            <w:pPr>
              <w:autoSpaceDE w:val="0"/>
              <w:autoSpaceDN w:val="0"/>
              <w:adjustRightInd w:val="0"/>
              <w:spacing w:line="240" w:lineRule="auto"/>
              <w:ind w:right="170"/>
              <w:jc w:val="both"/>
              <w:rPr>
                <w:rFonts w:ascii="Times New Roman" w:hAnsi="Times New Roman"/>
                <w:sz w:val="24"/>
                <w:szCs w:val="24"/>
              </w:rPr>
            </w:pPr>
            <w:r w:rsidRPr="00031BC7">
              <w:rPr>
                <w:rFonts w:ascii="Times New Roman" w:hAnsi="Times New Roman"/>
                <w:sz w:val="24"/>
                <w:szCs w:val="24"/>
              </w:rPr>
              <w:t>Satiksmes ministrija, valsts sabiedrība ar ierobežotu atbildību „Autotransporta direkcija” un plānošanas reģioni.</w:t>
            </w:r>
          </w:p>
        </w:tc>
      </w:tr>
      <w:tr w:rsidR="002C3DAC" w:rsidRPr="00031BC7" w:rsidTr="00605B74">
        <w:trPr>
          <w:trHeight w:val="1340"/>
          <w:tblCellSpacing w:w="0" w:type="dxa"/>
          <w:jc w:val="center"/>
        </w:trPr>
        <w:tc>
          <w:tcPr>
            <w:tcW w:w="512" w:type="dxa"/>
          </w:tcPr>
          <w:p w:rsidR="002C3DAC" w:rsidRPr="00031BC7" w:rsidRDefault="002C3DAC" w:rsidP="00031BC7">
            <w:pPr>
              <w:spacing w:before="94" w:after="94" w:line="240" w:lineRule="auto"/>
              <w:jc w:val="left"/>
              <w:rPr>
                <w:rFonts w:ascii="Times New Roman" w:hAnsi="Times New Roman"/>
                <w:sz w:val="24"/>
                <w:szCs w:val="24"/>
                <w:lang w:eastAsia="lv-LV"/>
              </w:rPr>
            </w:pPr>
            <w:r w:rsidRPr="00031BC7">
              <w:rPr>
                <w:rFonts w:ascii="Times New Roman" w:hAnsi="Times New Roman"/>
                <w:sz w:val="24"/>
                <w:szCs w:val="24"/>
                <w:lang w:eastAsia="lv-LV"/>
              </w:rPr>
              <w:t> 6.</w:t>
            </w:r>
          </w:p>
        </w:tc>
        <w:tc>
          <w:tcPr>
            <w:tcW w:w="3457" w:type="dxa"/>
          </w:tcPr>
          <w:p w:rsidR="002C3DAC" w:rsidRPr="00031BC7" w:rsidRDefault="002C3DAC" w:rsidP="00EE469E">
            <w:pPr>
              <w:spacing w:before="94" w:after="94" w:line="240" w:lineRule="auto"/>
              <w:rPr>
                <w:rFonts w:ascii="Times New Roman" w:hAnsi="Times New Roman"/>
                <w:sz w:val="24"/>
                <w:szCs w:val="24"/>
                <w:lang w:eastAsia="lv-LV"/>
              </w:rPr>
            </w:pPr>
            <w:r w:rsidRPr="00031BC7">
              <w:rPr>
                <w:rFonts w:ascii="Times New Roman" w:hAnsi="Times New Roman"/>
                <w:sz w:val="24"/>
                <w:szCs w:val="24"/>
                <w:lang w:eastAsia="lv-LV"/>
              </w:rPr>
              <w:t>Iemesli, kādēļ netika nodrošināta sabiedrības līdzdalība</w:t>
            </w:r>
          </w:p>
        </w:tc>
        <w:tc>
          <w:tcPr>
            <w:tcW w:w="4671" w:type="dxa"/>
          </w:tcPr>
          <w:p w:rsidR="002C3DAC" w:rsidRPr="009A7BBD" w:rsidRDefault="002C3DAC" w:rsidP="00031BC7">
            <w:pPr>
              <w:spacing w:line="240" w:lineRule="auto"/>
              <w:jc w:val="both"/>
              <w:rPr>
                <w:rFonts w:ascii="Times New Roman" w:hAnsi="Times New Roman"/>
                <w:b/>
                <w:sz w:val="24"/>
                <w:szCs w:val="24"/>
              </w:rPr>
            </w:pPr>
            <w:r w:rsidRPr="009A7BBD">
              <w:rPr>
                <w:rFonts w:ascii="Times New Roman" w:hAnsi="Times New Roman"/>
                <w:sz w:val="24"/>
                <w:szCs w:val="24"/>
              </w:rPr>
              <w:t xml:space="preserve">Ministru kabineta noteikumu projekts tieši </w:t>
            </w:r>
            <w:r>
              <w:rPr>
                <w:rFonts w:ascii="Times New Roman" w:hAnsi="Times New Roman"/>
                <w:sz w:val="24"/>
                <w:szCs w:val="24"/>
              </w:rPr>
              <w:t>skar</w:t>
            </w:r>
            <w:r w:rsidRPr="009A7BBD">
              <w:rPr>
                <w:rFonts w:ascii="Times New Roman" w:hAnsi="Times New Roman"/>
                <w:sz w:val="24"/>
                <w:szCs w:val="24"/>
              </w:rPr>
              <w:t xml:space="preserve"> plānošanas reģionu funkciju veikšanu, tādēļ sabiedrības līdzdalība projekta sagatavošanā nav nepieciešama.</w:t>
            </w:r>
          </w:p>
        </w:tc>
      </w:tr>
      <w:tr w:rsidR="002C3DAC" w:rsidRPr="00031BC7" w:rsidTr="00605B74">
        <w:trPr>
          <w:tblCellSpacing w:w="0" w:type="dxa"/>
          <w:jc w:val="center"/>
        </w:trPr>
        <w:tc>
          <w:tcPr>
            <w:tcW w:w="512" w:type="dxa"/>
          </w:tcPr>
          <w:p w:rsidR="002C3DAC" w:rsidRPr="00031BC7" w:rsidRDefault="002C3DAC" w:rsidP="00031BC7">
            <w:pPr>
              <w:spacing w:before="94" w:after="94" w:line="240" w:lineRule="auto"/>
              <w:jc w:val="left"/>
              <w:rPr>
                <w:rFonts w:ascii="Times New Roman" w:hAnsi="Times New Roman"/>
                <w:sz w:val="24"/>
                <w:szCs w:val="24"/>
                <w:lang w:eastAsia="lv-LV"/>
              </w:rPr>
            </w:pPr>
            <w:r w:rsidRPr="00031BC7">
              <w:rPr>
                <w:rFonts w:ascii="Times New Roman" w:hAnsi="Times New Roman"/>
                <w:sz w:val="24"/>
                <w:szCs w:val="24"/>
                <w:lang w:eastAsia="lv-LV"/>
              </w:rPr>
              <w:t> 7.</w:t>
            </w:r>
          </w:p>
        </w:tc>
        <w:tc>
          <w:tcPr>
            <w:tcW w:w="3457" w:type="dxa"/>
          </w:tcPr>
          <w:p w:rsidR="002C3DAC" w:rsidRPr="00031BC7" w:rsidRDefault="002C3DAC" w:rsidP="00EE469E">
            <w:pPr>
              <w:spacing w:before="94" w:after="94" w:line="240" w:lineRule="auto"/>
              <w:rPr>
                <w:rFonts w:ascii="Times New Roman" w:hAnsi="Times New Roman"/>
                <w:sz w:val="24"/>
                <w:szCs w:val="24"/>
                <w:lang w:eastAsia="lv-LV"/>
              </w:rPr>
            </w:pPr>
            <w:r w:rsidRPr="00031BC7">
              <w:rPr>
                <w:rFonts w:ascii="Times New Roman" w:hAnsi="Times New Roman"/>
                <w:sz w:val="24"/>
                <w:szCs w:val="24"/>
                <w:lang w:eastAsia="lv-LV"/>
              </w:rPr>
              <w:t>Cita informācija</w:t>
            </w:r>
          </w:p>
        </w:tc>
        <w:tc>
          <w:tcPr>
            <w:tcW w:w="4671" w:type="dxa"/>
          </w:tcPr>
          <w:p w:rsidR="002C3DAC" w:rsidRPr="00031BC7" w:rsidRDefault="002C3DAC" w:rsidP="00031BC7">
            <w:pPr>
              <w:spacing w:before="94" w:after="94" w:line="240" w:lineRule="auto"/>
              <w:jc w:val="both"/>
              <w:rPr>
                <w:rFonts w:ascii="Times New Roman" w:hAnsi="Times New Roman"/>
                <w:sz w:val="24"/>
                <w:szCs w:val="24"/>
                <w:lang w:eastAsia="lv-LV"/>
              </w:rPr>
            </w:pPr>
            <w:r w:rsidRPr="00031BC7">
              <w:rPr>
                <w:rFonts w:ascii="Times New Roman" w:hAnsi="Times New Roman"/>
                <w:sz w:val="24"/>
                <w:szCs w:val="24"/>
                <w:lang w:eastAsia="lv-LV"/>
              </w:rPr>
              <w:t> Nav.</w:t>
            </w:r>
          </w:p>
        </w:tc>
      </w:tr>
    </w:tbl>
    <w:p w:rsidR="002C3DAC" w:rsidRPr="00031BC7" w:rsidRDefault="002C3DAC" w:rsidP="00031BC7">
      <w:pPr>
        <w:spacing w:before="100" w:beforeAutospacing="1" w:after="100" w:afterAutospacing="1" w:line="240" w:lineRule="auto"/>
        <w:jc w:val="left"/>
        <w:rPr>
          <w:rFonts w:ascii="Times New Roman" w:hAnsi="Times New Roman"/>
          <w:sz w:val="24"/>
          <w:szCs w:val="24"/>
        </w:rPr>
      </w:pPr>
    </w:p>
    <w:tbl>
      <w:tblPr>
        <w:tblW w:w="4910"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441"/>
        <w:gridCol w:w="3668"/>
        <w:gridCol w:w="4858"/>
      </w:tblGrid>
      <w:tr w:rsidR="002C3DAC" w:rsidRPr="00031BC7" w:rsidTr="00EE469E">
        <w:tc>
          <w:tcPr>
            <w:tcW w:w="5000" w:type="pct"/>
            <w:gridSpan w:val="3"/>
            <w:vAlign w:val="center"/>
          </w:tcPr>
          <w:p w:rsidR="002C3DAC" w:rsidRPr="00031BC7" w:rsidRDefault="002C3DAC" w:rsidP="00031BC7">
            <w:pPr>
              <w:spacing w:before="100" w:beforeAutospacing="1" w:after="100" w:afterAutospacing="1" w:line="240" w:lineRule="auto"/>
              <w:jc w:val="left"/>
              <w:rPr>
                <w:rFonts w:ascii="Times New Roman" w:hAnsi="Times New Roman"/>
                <w:b/>
                <w:bCs/>
                <w:sz w:val="24"/>
                <w:szCs w:val="24"/>
              </w:rPr>
            </w:pPr>
            <w:r w:rsidRPr="00031BC7">
              <w:rPr>
                <w:rFonts w:ascii="Times New Roman" w:hAnsi="Times New Roman"/>
                <w:b/>
                <w:bCs/>
                <w:sz w:val="24"/>
                <w:szCs w:val="24"/>
              </w:rPr>
              <w:t>II. Tiesību akta projekta ietekme uz sabiedrību</w:t>
            </w:r>
          </w:p>
        </w:tc>
      </w:tr>
      <w:tr w:rsidR="002C3DAC" w:rsidRPr="00031BC7" w:rsidTr="00EE469E">
        <w:tc>
          <w:tcPr>
            <w:tcW w:w="246" w:type="pct"/>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1.</w:t>
            </w:r>
          </w:p>
        </w:tc>
        <w:tc>
          <w:tcPr>
            <w:tcW w:w="2045" w:type="pct"/>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Sabiedrības mērķgrupa</w:t>
            </w:r>
          </w:p>
        </w:tc>
        <w:tc>
          <w:tcPr>
            <w:tcW w:w="2709" w:type="pct"/>
          </w:tcPr>
          <w:p w:rsidR="002C3DAC" w:rsidRPr="009A7BBD" w:rsidRDefault="002C3DAC" w:rsidP="00031BC7">
            <w:pPr>
              <w:pStyle w:val="naiskr"/>
              <w:spacing w:before="0" w:after="0"/>
              <w:ind w:right="170"/>
              <w:rPr>
                <w:iCs/>
              </w:rPr>
            </w:pPr>
            <w:r w:rsidRPr="009A7BBD">
              <w:rPr>
                <w:iCs/>
              </w:rPr>
              <w:t>Sabiedriskā transporta pakalpojumu lietotāji vietējos reģionālās nozīmes maršrutos..</w:t>
            </w:r>
          </w:p>
          <w:p w:rsidR="002C3DAC" w:rsidRPr="00031BC7" w:rsidRDefault="002C3DAC" w:rsidP="00031BC7">
            <w:pPr>
              <w:spacing w:before="100" w:beforeAutospacing="1" w:after="100" w:afterAutospacing="1" w:line="240" w:lineRule="auto"/>
              <w:jc w:val="left"/>
              <w:rPr>
                <w:rFonts w:ascii="Times New Roman" w:hAnsi="Times New Roman"/>
                <w:sz w:val="24"/>
                <w:szCs w:val="24"/>
              </w:rPr>
            </w:pPr>
          </w:p>
        </w:tc>
      </w:tr>
      <w:tr w:rsidR="002C3DAC" w:rsidRPr="00031BC7" w:rsidTr="00EE469E">
        <w:tc>
          <w:tcPr>
            <w:tcW w:w="246" w:type="pct"/>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2.</w:t>
            </w:r>
          </w:p>
        </w:tc>
        <w:tc>
          <w:tcPr>
            <w:tcW w:w="2045" w:type="pct"/>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Citas sabiedrības grupas (bez mērķgrupas), kuras tiesiskais regulējums arī ietekmē vai varētu ietekmēt</w:t>
            </w:r>
          </w:p>
        </w:tc>
        <w:tc>
          <w:tcPr>
            <w:tcW w:w="2709" w:type="pct"/>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Projekts šo jomu neskar.</w:t>
            </w:r>
          </w:p>
        </w:tc>
      </w:tr>
      <w:tr w:rsidR="002C3DAC" w:rsidRPr="00031BC7" w:rsidTr="00EE469E">
        <w:tc>
          <w:tcPr>
            <w:tcW w:w="246" w:type="pct"/>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3.</w:t>
            </w:r>
          </w:p>
        </w:tc>
        <w:tc>
          <w:tcPr>
            <w:tcW w:w="2045" w:type="pct"/>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Tiesiskā regulējuma finansiālā ietekme</w:t>
            </w:r>
          </w:p>
        </w:tc>
        <w:tc>
          <w:tcPr>
            <w:tcW w:w="2709" w:type="pct"/>
          </w:tcPr>
          <w:p w:rsidR="002C3DAC" w:rsidRPr="00031BC7" w:rsidRDefault="002C3DAC" w:rsidP="00031BC7">
            <w:pPr>
              <w:spacing w:line="240" w:lineRule="auto"/>
              <w:jc w:val="left"/>
              <w:rPr>
                <w:rFonts w:ascii="Times New Roman" w:hAnsi="Times New Roman"/>
                <w:sz w:val="24"/>
                <w:szCs w:val="24"/>
              </w:rPr>
            </w:pPr>
            <w:r w:rsidRPr="00031BC7">
              <w:rPr>
                <w:rFonts w:ascii="Times New Roman" w:hAnsi="Times New Roman"/>
                <w:sz w:val="24"/>
                <w:szCs w:val="24"/>
              </w:rPr>
              <w:t>Tiesību akta projekts tiešu finansiālo ietekmi nerada.</w:t>
            </w:r>
          </w:p>
        </w:tc>
      </w:tr>
      <w:tr w:rsidR="002C3DAC" w:rsidRPr="00031BC7" w:rsidTr="00EE469E">
        <w:tc>
          <w:tcPr>
            <w:tcW w:w="246" w:type="pct"/>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4.</w:t>
            </w:r>
          </w:p>
        </w:tc>
        <w:tc>
          <w:tcPr>
            <w:tcW w:w="2045" w:type="pct"/>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Tiesiskā regulējuma nefinansiālā ietekme</w:t>
            </w:r>
          </w:p>
        </w:tc>
        <w:tc>
          <w:tcPr>
            <w:tcW w:w="2709" w:type="pct"/>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Projekts šo jomu neskar.</w:t>
            </w:r>
          </w:p>
        </w:tc>
      </w:tr>
      <w:tr w:rsidR="002C3DAC" w:rsidRPr="00031BC7" w:rsidTr="00EE469E">
        <w:tc>
          <w:tcPr>
            <w:tcW w:w="246" w:type="pct"/>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5.</w:t>
            </w:r>
          </w:p>
        </w:tc>
        <w:tc>
          <w:tcPr>
            <w:tcW w:w="2045" w:type="pct"/>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Administratīvās procedūras raksturojums</w:t>
            </w:r>
          </w:p>
        </w:tc>
        <w:tc>
          <w:tcPr>
            <w:tcW w:w="2709" w:type="pct"/>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Projekts šo jomu neskar.</w:t>
            </w:r>
          </w:p>
        </w:tc>
      </w:tr>
      <w:tr w:rsidR="002C3DAC" w:rsidRPr="00031BC7" w:rsidTr="00EE469E">
        <w:tc>
          <w:tcPr>
            <w:tcW w:w="246" w:type="pct"/>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6.</w:t>
            </w:r>
          </w:p>
        </w:tc>
        <w:tc>
          <w:tcPr>
            <w:tcW w:w="2045" w:type="pct"/>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Administratīvo izmaksu monetārs novērtējums</w:t>
            </w:r>
          </w:p>
        </w:tc>
        <w:tc>
          <w:tcPr>
            <w:tcW w:w="2709" w:type="pct"/>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Projekts šo jomu neskar.</w:t>
            </w:r>
          </w:p>
        </w:tc>
      </w:tr>
      <w:tr w:rsidR="002C3DAC" w:rsidRPr="00031BC7" w:rsidTr="00EE469E">
        <w:tc>
          <w:tcPr>
            <w:tcW w:w="246" w:type="pct"/>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7.</w:t>
            </w:r>
          </w:p>
        </w:tc>
        <w:tc>
          <w:tcPr>
            <w:tcW w:w="2045" w:type="pct"/>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Cita informācija</w:t>
            </w:r>
          </w:p>
        </w:tc>
        <w:tc>
          <w:tcPr>
            <w:tcW w:w="2709" w:type="pct"/>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Nav</w:t>
            </w:r>
          </w:p>
        </w:tc>
      </w:tr>
    </w:tbl>
    <w:p w:rsidR="002C3DAC" w:rsidRPr="00031BC7" w:rsidRDefault="002C3DAC" w:rsidP="00031BC7">
      <w:pPr>
        <w:spacing w:before="100" w:beforeAutospacing="1" w:after="100" w:afterAutospacing="1" w:line="240" w:lineRule="auto"/>
        <w:jc w:val="left"/>
        <w:rPr>
          <w:rFonts w:ascii="Times New Roman" w:hAnsi="Times New Roman"/>
          <w:sz w:val="24"/>
          <w:szCs w:val="24"/>
        </w:rPr>
      </w:pPr>
    </w:p>
    <w:tbl>
      <w:tblPr>
        <w:tblW w:w="492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57"/>
        <w:gridCol w:w="3684"/>
        <w:gridCol w:w="4857"/>
      </w:tblGrid>
      <w:tr w:rsidR="002C3DAC" w:rsidRPr="00031BC7" w:rsidTr="00031BC7">
        <w:tc>
          <w:tcPr>
            <w:tcW w:w="5000" w:type="pct"/>
            <w:gridSpan w:val="3"/>
            <w:tcBorders>
              <w:top w:val="outset" w:sz="6" w:space="0" w:color="000000"/>
              <w:bottom w:val="outset" w:sz="6" w:space="0" w:color="000000"/>
            </w:tcBorders>
          </w:tcPr>
          <w:p w:rsidR="002C3DAC" w:rsidRPr="00031BC7" w:rsidRDefault="002C3DAC" w:rsidP="00031BC7">
            <w:pPr>
              <w:spacing w:before="100" w:beforeAutospacing="1" w:after="100" w:afterAutospacing="1" w:line="240" w:lineRule="auto"/>
              <w:jc w:val="left"/>
              <w:rPr>
                <w:rFonts w:ascii="Times New Roman" w:hAnsi="Times New Roman"/>
                <w:b/>
                <w:bCs/>
                <w:sz w:val="24"/>
                <w:szCs w:val="24"/>
              </w:rPr>
            </w:pPr>
            <w:r w:rsidRPr="00031BC7">
              <w:rPr>
                <w:rFonts w:ascii="Times New Roman" w:hAnsi="Times New Roman"/>
                <w:b/>
                <w:bCs/>
                <w:sz w:val="24"/>
                <w:szCs w:val="24"/>
              </w:rPr>
              <w:t>VII. Tiesību akta projekta izpildes nodrošināšana un tās ietekme uz institūcijām</w:t>
            </w:r>
          </w:p>
        </w:tc>
      </w:tr>
      <w:tr w:rsidR="002C3DAC" w:rsidRPr="00031BC7" w:rsidTr="00031BC7">
        <w:tc>
          <w:tcPr>
            <w:tcW w:w="254" w:type="pct"/>
            <w:tcBorders>
              <w:top w:val="outset" w:sz="6" w:space="0" w:color="000000"/>
              <w:bottom w:val="outset" w:sz="6" w:space="0" w:color="000000"/>
              <w:right w:val="outset" w:sz="6" w:space="0" w:color="000000"/>
            </w:tcBorders>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1.</w:t>
            </w:r>
          </w:p>
        </w:tc>
        <w:tc>
          <w:tcPr>
            <w:tcW w:w="2047" w:type="pct"/>
            <w:tcBorders>
              <w:top w:val="outset" w:sz="6" w:space="0" w:color="000000"/>
              <w:left w:val="outset" w:sz="6" w:space="0" w:color="000000"/>
              <w:bottom w:val="outset" w:sz="6" w:space="0" w:color="000000"/>
              <w:right w:val="outset" w:sz="6" w:space="0" w:color="000000"/>
            </w:tcBorders>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Projekta izpildē iesaistītās institūcijas</w:t>
            </w:r>
          </w:p>
        </w:tc>
        <w:tc>
          <w:tcPr>
            <w:tcW w:w="2699" w:type="pct"/>
            <w:tcBorders>
              <w:top w:val="outset" w:sz="6" w:space="0" w:color="000000"/>
              <w:left w:val="outset" w:sz="6" w:space="0" w:color="000000"/>
              <w:bottom w:val="outset" w:sz="6" w:space="0" w:color="000000"/>
            </w:tcBorders>
          </w:tcPr>
          <w:p w:rsidR="002C3DAC" w:rsidRPr="009A7BBD" w:rsidRDefault="002C3DAC" w:rsidP="00EE469E">
            <w:pPr>
              <w:spacing w:before="100" w:beforeAutospacing="1" w:after="100" w:afterAutospacing="1" w:line="240" w:lineRule="auto"/>
              <w:jc w:val="both"/>
              <w:rPr>
                <w:rFonts w:ascii="Times New Roman" w:hAnsi="Times New Roman"/>
                <w:sz w:val="24"/>
                <w:szCs w:val="24"/>
              </w:rPr>
            </w:pPr>
            <w:r w:rsidRPr="009A7BBD">
              <w:rPr>
                <w:rFonts w:ascii="Times New Roman" w:hAnsi="Times New Roman"/>
                <w:sz w:val="24"/>
                <w:szCs w:val="24"/>
              </w:rPr>
              <w:t>Satiksmes ministrija, Valsts sabiedrība ar ierobežotu atbildību</w:t>
            </w:r>
            <w:r w:rsidRPr="009A7BBD">
              <w:rPr>
                <w:rFonts w:ascii="Times New Roman" w:hAnsi="Times New Roman"/>
                <w:iCs/>
                <w:sz w:val="24"/>
                <w:szCs w:val="24"/>
              </w:rPr>
              <w:t xml:space="preserve"> „Autotransporta direkcija”, plānošanas reģioni.</w:t>
            </w:r>
          </w:p>
        </w:tc>
      </w:tr>
      <w:tr w:rsidR="002C3DAC" w:rsidRPr="00031BC7" w:rsidTr="00031BC7">
        <w:tc>
          <w:tcPr>
            <w:tcW w:w="254" w:type="pct"/>
            <w:tcBorders>
              <w:top w:val="outset" w:sz="6" w:space="0" w:color="000000"/>
              <w:bottom w:val="outset" w:sz="6" w:space="0" w:color="000000"/>
              <w:right w:val="outset" w:sz="6" w:space="0" w:color="000000"/>
            </w:tcBorders>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2.</w:t>
            </w:r>
          </w:p>
        </w:tc>
        <w:tc>
          <w:tcPr>
            <w:tcW w:w="2047" w:type="pct"/>
            <w:tcBorders>
              <w:top w:val="outset" w:sz="6" w:space="0" w:color="000000"/>
              <w:left w:val="outset" w:sz="6" w:space="0" w:color="000000"/>
              <w:bottom w:val="outset" w:sz="6" w:space="0" w:color="000000"/>
              <w:right w:val="outset" w:sz="6" w:space="0" w:color="000000"/>
            </w:tcBorders>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Projekta izpildes ietekme uz pārvaldes funkcijām</w:t>
            </w:r>
          </w:p>
        </w:tc>
        <w:tc>
          <w:tcPr>
            <w:tcW w:w="2699" w:type="pct"/>
            <w:tcBorders>
              <w:top w:val="outset" w:sz="6" w:space="0" w:color="000000"/>
              <w:left w:val="outset" w:sz="6" w:space="0" w:color="000000"/>
              <w:bottom w:val="outset" w:sz="6" w:space="0" w:color="000000"/>
            </w:tcBorders>
          </w:tcPr>
          <w:p w:rsidR="002C3DAC" w:rsidRPr="009A7BBD" w:rsidRDefault="002C3DAC" w:rsidP="00EE469E">
            <w:pPr>
              <w:spacing w:before="100" w:beforeAutospacing="1" w:after="100" w:afterAutospacing="1" w:line="240" w:lineRule="auto"/>
              <w:jc w:val="both"/>
              <w:rPr>
                <w:rFonts w:ascii="Times New Roman" w:hAnsi="Times New Roman"/>
                <w:sz w:val="24"/>
                <w:szCs w:val="24"/>
              </w:rPr>
            </w:pPr>
            <w:r w:rsidRPr="009A7BBD">
              <w:rPr>
                <w:rFonts w:ascii="Times New Roman" w:hAnsi="Times New Roman"/>
                <w:iCs/>
                <w:sz w:val="24"/>
                <w:szCs w:val="24"/>
              </w:rPr>
              <w:t>Noteikumu projekts neietekmēs pārvaldes  funkcijas</w:t>
            </w:r>
            <w:r>
              <w:rPr>
                <w:rFonts w:ascii="Times New Roman" w:hAnsi="Times New Roman"/>
                <w:iCs/>
                <w:sz w:val="24"/>
                <w:szCs w:val="24"/>
              </w:rPr>
              <w:t>.</w:t>
            </w:r>
          </w:p>
        </w:tc>
      </w:tr>
      <w:tr w:rsidR="002C3DAC" w:rsidRPr="00031BC7" w:rsidTr="00031BC7">
        <w:tc>
          <w:tcPr>
            <w:tcW w:w="254" w:type="pct"/>
            <w:tcBorders>
              <w:top w:val="outset" w:sz="6" w:space="0" w:color="000000"/>
              <w:bottom w:val="outset" w:sz="6" w:space="0" w:color="000000"/>
              <w:right w:val="outset" w:sz="6" w:space="0" w:color="000000"/>
            </w:tcBorders>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3.</w:t>
            </w:r>
          </w:p>
        </w:tc>
        <w:tc>
          <w:tcPr>
            <w:tcW w:w="2047" w:type="pct"/>
            <w:tcBorders>
              <w:top w:val="outset" w:sz="6" w:space="0" w:color="000000"/>
              <w:left w:val="outset" w:sz="6" w:space="0" w:color="000000"/>
              <w:bottom w:val="outset" w:sz="6" w:space="0" w:color="000000"/>
              <w:right w:val="outset" w:sz="6" w:space="0" w:color="000000"/>
            </w:tcBorders>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Projekta izpildes ietekme uz pārvaldes institucionālo struktūru.</w:t>
            </w:r>
          </w:p>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Jaunu institūciju izveide</w:t>
            </w:r>
          </w:p>
        </w:tc>
        <w:tc>
          <w:tcPr>
            <w:tcW w:w="2699" w:type="pct"/>
            <w:tcBorders>
              <w:top w:val="outset" w:sz="6" w:space="0" w:color="000000"/>
              <w:left w:val="outset" w:sz="6" w:space="0" w:color="000000"/>
              <w:bottom w:val="outset" w:sz="6" w:space="0" w:color="000000"/>
            </w:tcBorders>
          </w:tcPr>
          <w:p w:rsidR="002C3DAC" w:rsidRPr="00031BC7" w:rsidRDefault="002C3DAC" w:rsidP="00EE469E">
            <w:pPr>
              <w:spacing w:before="100" w:beforeAutospacing="1" w:after="100" w:afterAutospacing="1" w:line="240" w:lineRule="auto"/>
              <w:jc w:val="both"/>
              <w:rPr>
                <w:rFonts w:ascii="Times New Roman" w:hAnsi="Times New Roman"/>
                <w:sz w:val="24"/>
                <w:szCs w:val="24"/>
              </w:rPr>
            </w:pPr>
            <w:r w:rsidRPr="00031BC7">
              <w:rPr>
                <w:rFonts w:ascii="Times New Roman" w:hAnsi="Times New Roman"/>
                <w:sz w:val="24"/>
                <w:szCs w:val="24"/>
              </w:rPr>
              <w:t>Noteikumu projekts neietekmē pārvaldes institucionālo struktūru. Noteikumu projekts neparedz jaunu institūciju izveidi.</w:t>
            </w:r>
          </w:p>
        </w:tc>
      </w:tr>
      <w:tr w:rsidR="002C3DAC" w:rsidRPr="00031BC7" w:rsidTr="00031BC7">
        <w:tc>
          <w:tcPr>
            <w:tcW w:w="254" w:type="pct"/>
            <w:tcBorders>
              <w:top w:val="outset" w:sz="6" w:space="0" w:color="000000"/>
              <w:bottom w:val="outset" w:sz="6" w:space="0" w:color="000000"/>
              <w:right w:val="outset" w:sz="6" w:space="0" w:color="000000"/>
            </w:tcBorders>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4.</w:t>
            </w:r>
          </w:p>
        </w:tc>
        <w:tc>
          <w:tcPr>
            <w:tcW w:w="2047" w:type="pct"/>
            <w:tcBorders>
              <w:top w:val="outset" w:sz="6" w:space="0" w:color="000000"/>
              <w:left w:val="outset" w:sz="6" w:space="0" w:color="000000"/>
              <w:bottom w:val="outset" w:sz="6" w:space="0" w:color="000000"/>
              <w:right w:val="outset" w:sz="6" w:space="0" w:color="000000"/>
            </w:tcBorders>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Projekta izpildes ietekme uz pārvaldes institucionālo struktūru.</w:t>
            </w:r>
          </w:p>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Esošu institūciju likvidācija</w:t>
            </w:r>
          </w:p>
        </w:tc>
        <w:tc>
          <w:tcPr>
            <w:tcW w:w="2699" w:type="pct"/>
            <w:tcBorders>
              <w:top w:val="outset" w:sz="6" w:space="0" w:color="000000"/>
              <w:left w:val="outset" w:sz="6" w:space="0" w:color="000000"/>
              <w:bottom w:val="outset" w:sz="6" w:space="0" w:color="000000"/>
            </w:tcBorders>
          </w:tcPr>
          <w:p w:rsidR="002C3DAC" w:rsidRPr="00031BC7" w:rsidRDefault="002C3DAC" w:rsidP="00EE469E">
            <w:pPr>
              <w:spacing w:before="100" w:beforeAutospacing="1" w:after="100" w:afterAutospacing="1" w:line="240" w:lineRule="auto"/>
              <w:jc w:val="both"/>
              <w:rPr>
                <w:rFonts w:ascii="Times New Roman" w:hAnsi="Times New Roman"/>
                <w:sz w:val="24"/>
                <w:szCs w:val="24"/>
              </w:rPr>
            </w:pPr>
            <w:r w:rsidRPr="00031BC7">
              <w:rPr>
                <w:rFonts w:ascii="Times New Roman" w:hAnsi="Times New Roman"/>
                <w:sz w:val="24"/>
                <w:szCs w:val="24"/>
              </w:rPr>
              <w:t>Noteikumu projekts neietekmē pārvaldes institucionālo struktūru. Noteikumu projekts neparedz esošu institūciju likvidāciju.</w:t>
            </w:r>
          </w:p>
        </w:tc>
      </w:tr>
      <w:tr w:rsidR="002C3DAC" w:rsidRPr="00031BC7" w:rsidTr="00031BC7">
        <w:tc>
          <w:tcPr>
            <w:tcW w:w="254" w:type="pct"/>
            <w:tcBorders>
              <w:top w:val="outset" w:sz="6" w:space="0" w:color="000000"/>
              <w:bottom w:val="outset" w:sz="6" w:space="0" w:color="000000"/>
              <w:right w:val="outset" w:sz="6" w:space="0" w:color="000000"/>
            </w:tcBorders>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5.</w:t>
            </w:r>
          </w:p>
        </w:tc>
        <w:tc>
          <w:tcPr>
            <w:tcW w:w="2047" w:type="pct"/>
            <w:tcBorders>
              <w:top w:val="outset" w:sz="6" w:space="0" w:color="000000"/>
              <w:left w:val="outset" w:sz="6" w:space="0" w:color="000000"/>
              <w:bottom w:val="outset" w:sz="6" w:space="0" w:color="000000"/>
              <w:right w:val="outset" w:sz="6" w:space="0" w:color="000000"/>
            </w:tcBorders>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Projekta izpildes ietekme uz pārvaldes institucionālo struktūru.</w:t>
            </w:r>
          </w:p>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Esošu institūciju reorganizācija</w:t>
            </w:r>
          </w:p>
        </w:tc>
        <w:tc>
          <w:tcPr>
            <w:tcW w:w="2699" w:type="pct"/>
            <w:tcBorders>
              <w:top w:val="outset" w:sz="6" w:space="0" w:color="000000"/>
              <w:left w:val="outset" w:sz="6" w:space="0" w:color="000000"/>
              <w:bottom w:val="outset" w:sz="6" w:space="0" w:color="000000"/>
            </w:tcBorders>
          </w:tcPr>
          <w:p w:rsidR="002C3DAC" w:rsidRPr="00031BC7" w:rsidRDefault="002C3DAC" w:rsidP="00EE469E">
            <w:pPr>
              <w:spacing w:before="100" w:beforeAutospacing="1" w:after="100" w:afterAutospacing="1" w:line="240" w:lineRule="auto"/>
              <w:jc w:val="both"/>
              <w:rPr>
                <w:rFonts w:ascii="Times New Roman" w:hAnsi="Times New Roman"/>
                <w:sz w:val="24"/>
                <w:szCs w:val="24"/>
              </w:rPr>
            </w:pPr>
            <w:r w:rsidRPr="00031BC7">
              <w:rPr>
                <w:rFonts w:ascii="Times New Roman" w:hAnsi="Times New Roman"/>
                <w:sz w:val="24"/>
                <w:szCs w:val="24"/>
              </w:rPr>
              <w:t>Noteikumu projekts neietekmē pārvaldes institucionālo struktūru. Noteikumu projekts neparedz esošu institūciju reorganizāciju.</w:t>
            </w:r>
          </w:p>
        </w:tc>
      </w:tr>
      <w:tr w:rsidR="002C3DAC" w:rsidRPr="00031BC7" w:rsidTr="00031BC7">
        <w:tc>
          <w:tcPr>
            <w:tcW w:w="254" w:type="pct"/>
            <w:tcBorders>
              <w:top w:val="outset" w:sz="6" w:space="0" w:color="000000"/>
              <w:bottom w:val="outset" w:sz="6" w:space="0" w:color="000000"/>
              <w:right w:val="outset" w:sz="6" w:space="0" w:color="000000"/>
            </w:tcBorders>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6.</w:t>
            </w:r>
          </w:p>
        </w:tc>
        <w:tc>
          <w:tcPr>
            <w:tcW w:w="2047" w:type="pct"/>
            <w:tcBorders>
              <w:top w:val="outset" w:sz="6" w:space="0" w:color="000000"/>
              <w:left w:val="outset" w:sz="6" w:space="0" w:color="000000"/>
              <w:bottom w:val="outset" w:sz="6" w:space="0" w:color="000000"/>
              <w:right w:val="outset" w:sz="6" w:space="0" w:color="000000"/>
            </w:tcBorders>
          </w:tcPr>
          <w:p w:rsidR="002C3DAC" w:rsidRPr="00031BC7" w:rsidRDefault="002C3DAC" w:rsidP="00EE469E">
            <w:pPr>
              <w:spacing w:before="100" w:beforeAutospacing="1" w:after="100" w:afterAutospacing="1" w:line="240" w:lineRule="auto"/>
              <w:rPr>
                <w:rFonts w:ascii="Times New Roman" w:hAnsi="Times New Roman"/>
                <w:sz w:val="24"/>
                <w:szCs w:val="24"/>
              </w:rPr>
            </w:pPr>
            <w:r w:rsidRPr="00031BC7">
              <w:rPr>
                <w:rFonts w:ascii="Times New Roman" w:hAnsi="Times New Roman"/>
                <w:sz w:val="24"/>
                <w:szCs w:val="24"/>
              </w:rPr>
              <w:t>Cita informācija</w:t>
            </w:r>
          </w:p>
        </w:tc>
        <w:tc>
          <w:tcPr>
            <w:tcW w:w="2699" w:type="pct"/>
            <w:tcBorders>
              <w:top w:val="outset" w:sz="6" w:space="0" w:color="000000"/>
              <w:left w:val="outset" w:sz="6" w:space="0" w:color="000000"/>
              <w:bottom w:val="outset" w:sz="6" w:space="0" w:color="000000"/>
            </w:tcBorders>
          </w:tcPr>
          <w:p w:rsidR="002C3DAC" w:rsidRPr="00031BC7" w:rsidRDefault="002C3DAC" w:rsidP="00031BC7">
            <w:pPr>
              <w:spacing w:before="100" w:beforeAutospacing="1" w:after="100" w:afterAutospacing="1" w:line="240" w:lineRule="auto"/>
              <w:jc w:val="left"/>
              <w:rPr>
                <w:rFonts w:ascii="Times New Roman" w:hAnsi="Times New Roman"/>
                <w:sz w:val="24"/>
                <w:szCs w:val="24"/>
              </w:rPr>
            </w:pPr>
            <w:r w:rsidRPr="00031BC7">
              <w:rPr>
                <w:rFonts w:ascii="Times New Roman" w:hAnsi="Times New Roman"/>
                <w:sz w:val="24"/>
                <w:szCs w:val="24"/>
              </w:rPr>
              <w:t>Nav</w:t>
            </w:r>
          </w:p>
        </w:tc>
      </w:tr>
    </w:tbl>
    <w:p w:rsidR="002C3DAC" w:rsidRPr="002C561E" w:rsidRDefault="002C3DAC" w:rsidP="00071A1A">
      <w:pPr>
        <w:pStyle w:val="naisf"/>
        <w:ind w:firstLine="0"/>
        <w:rPr>
          <w:sz w:val="28"/>
          <w:szCs w:val="28"/>
        </w:rPr>
      </w:pPr>
      <w:r w:rsidRPr="002C561E">
        <w:rPr>
          <w:sz w:val="28"/>
          <w:szCs w:val="28"/>
        </w:rPr>
        <w:tab/>
        <w:t>Anotācijas III, IV, V un VI sadaļa – projekts šo jomu neskar.</w:t>
      </w:r>
    </w:p>
    <w:p w:rsidR="002C3DAC" w:rsidRPr="002C561E" w:rsidRDefault="002C3DAC" w:rsidP="00071A1A">
      <w:pPr>
        <w:spacing w:line="240" w:lineRule="auto"/>
        <w:jc w:val="both"/>
        <w:rPr>
          <w:rFonts w:ascii="Times New Roman" w:hAnsi="Times New Roman"/>
          <w:sz w:val="28"/>
          <w:szCs w:val="28"/>
        </w:rPr>
      </w:pPr>
    </w:p>
    <w:p w:rsidR="002C3DAC" w:rsidRPr="002C561E" w:rsidRDefault="002C3DAC" w:rsidP="00071A1A">
      <w:pPr>
        <w:spacing w:line="240" w:lineRule="auto"/>
        <w:jc w:val="both"/>
        <w:rPr>
          <w:rFonts w:ascii="Times New Roman" w:hAnsi="Times New Roman"/>
          <w:sz w:val="28"/>
          <w:szCs w:val="28"/>
        </w:rPr>
      </w:pPr>
      <w:r w:rsidRPr="002C561E">
        <w:rPr>
          <w:rFonts w:ascii="Times New Roman" w:hAnsi="Times New Roman"/>
          <w:sz w:val="28"/>
          <w:szCs w:val="28"/>
        </w:rPr>
        <w:tab/>
        <w:t>Satiksmes ministrs</w:t>
      </w:r>
      <w:r w:rsidRPr="002C561E">
        <w:rPr>
          <w:rFonts w:ascii="Times New Roman" w:hAnsi="Times New Roman"/>
          <w:sz w:val="28"/>
          <w:szCs w:val="28"/>
        </w:rPr>
        <w:tab/>
      </w:r>
      <w:r w:rsidRPr="002C561E">
        <w:rPr>
          <w:rFonts w:ascii="Times New Roman" w:hAnsi="Times New Roman"/>
          <w:sz w:val="28"/>
          <w:szCs w:val="28"/>
        </w:rPr>
        <w:tab/>
      </w:r>
      <w:r w:rsidRPr="002C561E">
        <w:rPr>
          <w:rFonts w:ascii="Times New Roman" w:hAnsi="Times New Roman"/>
          <w:sz w:val="28"/>
          <w:szCs w:val="28"/>
        </w:rPr>
        <w:tab/>
      </w:r>
      <w:r w:rsidRPr="002C561E">
        <w:rPr>
          <w:rFonts w:ascii="Times New Roman" w:hAnsi="Times New Roman"/>
          <w:sz w:val="28"/>
          <w:szCs w:val="28"/>
        </w:rPr>
        <w:tab/>
      </w:r>
      <w:r w:rsidRPr="002C561E">
        <w:rPr>
          <w:rFonts w:ascii="Times New Roman" w:hAnsi="Times New Roman"/>
          <w:sz w:val="28"/>
          <w:szCs w:val="28"/>
        </w:rPr>
        <w:tab/>
      </w:r>
      <w:r w:rsidRPr="002C561E">
        <w:rPr>
          <w:rFonts w:ascii="Times New Roman" w:hAnsi="Times New Roman"/>
          <w:sz w:val="28"/>
          <w:szCs w:val="28"/>
        </w:rPr>
        <w:tab/>
      </w:r>
      <w:r w:rsidRPr="002C561E">
        <w:rPr>
          <w:rFonts w:ascii="Times New Roman" w:hAnsi="Times New Roman"/>
          <w:sz w:val="28"/>
          <w:szCs w:val="28"/>
        </w:rPr>
        <w:tab/>
      </w:r>
      <w:r>
        <w:rPr>
          <w:rFonts w:ascii="Times New Roman" w:hAnsi="Times New Roman"/>
          <w:sz w:val="28"/>
          <w:szCs w:val="28"/>
        </w:rPr>
        <w:t>A.Ronis</w:t>
      </w:r>
    </w:p>
    <w:p w:rsidR="002C3DAC" w:rsidRPr="002C561E" w:rsidRDefault="002C3DAC" w:rsidP="00071A1A">
      <w:pPr>
        <w:spacing w:line="240" w:lineRule="auto"/>
        <w:jc w:val="both"/>
        <w:rPr>
          <w:rFonts w:ascii="Times New Roman" w:hAnsi="Times New Roman"/>
          <w:sz w:val="28"/>
          <w:szCs w:val="28"/>
        </w:rPr>
      </w:pPr>
    </w:p>
    <w:p w:rsidR="002C3DAC" w:rsidRDefault="002C3DAC" w:rsidP="00071A1A">
      <w:pPr>
        <w:pStyle w:val="StyleRight"/>
        <w:spacing w:after="0"/>
        <w:ind w:left="720" w:firstLine="0"/>
        <w:jc w:val="both"/>
      </w:pPr>
    </w:p>
    <w:p w:rsidR="002C3DAC" w:rsidRPr="002C561E" w:rsidRDefault="002C3DAC" w:rsidP="00071A1A">
      <w:pPr>
        <w:pStyle w:val="StyleRight"/>
        <w:spacing w:after="0"/>
        <w:ind w:left="720" w:firstLine="0"/>
        <w:jc w:val="both"/>
      </w:pPr>
      <w:r w:rsidRPr="002C561E">
        <w:t xml:space="preserve">Vīza: </w:t>
      </w:r>
    </w:p>
    <w:p w:rsidR="002C3DAC" w:rsidRPr="002C561E" w:rsidRDefault="002C3DAC" w:rsidP="00071A1A">
      <w:pPr>
        <w:pStyle w:val="StyleRight"/>
        <w:spacing w:after="0"/>
        <w:ind w:left="720" w:firstLine="0"/>
        <w:jc w:val="both"/>
      </w:pPr>
      <w:r w:rsidRPr="002C561E">
        <w:t>Valsts sekretārs</w:t>
      </w:r>
      <w:r w:rsidRPr="002C561E">
        <w:tab/>
      </w:r>
      <w:r w:rsidRPr="002C561E">
        <w:tab/>
      </w:r>
      <w:r w:rsidRPr="002C561E">
        <w:tab/>
      </w:r>
      <w:r w:rsidRPr="002C561E">
        <w:tab/>
      </w:r>
      <w:r w:rsidRPr="002C561E">
        <w:tab/>
      </w:r>
      <w:r w:rsidRPr="002C561E">
        <w:tab/>
      </w:r>
      <w:r w:rsidRPr="002C561E">
        <w:tab/>
        <w:t>A.Matīss</w:t>
      </w:r>
    </w:p>
    <w:p w:rsidR="002C3DAC" w:rsidRPr="002C561E" w:rsidRDefault="002C3DAC" w:rsidP="00071A1A">
      <w:pPr>
        <w:spacing w:line="240" w:lineRule="auto"/>
        <w:ind w:left="360"/>
        <w:jc w:val="both"/>
        <w:rPr>
          <w:rFonts w:ascii="Times New Roman" w:hAnsi="Times New Roman"/>
          <w:noProof/>
          <w:sz w:val="28"/>
          <w:szCs w:val="28"/>
        </w:rPr>
      </w:pPr>
    </w:p>
    <w:p w:rsidR="002C3DAC" w:rsidRDefault="002C3DAC" w:rsidP="00071A1A">
      <w:pPr>
        <w:spacing w:line="240" w:lineRule="auto"/>
        <w:jc w:val="both"/>
        <w:rPr>
          <w:rFonts w:ascii="Times New Roman" w:hAnsi="Times New Roman"/>
          <w:noProof/>
          <w:sz w:val="20"/>
          <w:szCs w:val="20"/>
        </w:rPr>
      </w:pPr>
    </w:p>
    <w:p w:rsidR="002C3DAC" w:rsidRDefault="002C3DAC" w:rsidP="00071A1A">
      <w:pPr>
        <w:spacing w:line="240" w:lineRule="auto"/>
        <w:jc w:val="both"/>
        <w:rPr>
          <w:rFonts w:ascii="Times New Roman" w:hAnsi="Times New Roman"/>
          <w:noProof/>
          <w:sz w:val="20"/>
          <w:szCs w:val="20"/>
        </w:rPr>
      </w:pPr>
    </w:p>
    <w:p w:rsidR="002C3DAC" w:rsidRPr="00EE469E" w:rsidRDefault="002C3DAC" w:rsidP="00071A1A">
      <w:pPr>
        <w:spacing w:line="240" w:lineRule="auto"/>
        <w:jc w:val="both"/>
        <w:rPr>
          <w:rFonts w:ascii="Times New Roman" w:hAnsi="Times New Roman"/>
          <w:sz w:val="20"/>
          <w:szCs w:val="20"/>
        </w:rPr>
      </w:pPr>
      <w:r>
        <w:rPr>
          <w:rFonts w:ascii="Times New Roman" w:hAnsi="Times New Roman"/>
          <w:noProof/>
          <w:sz w:val="20"/>
          <w:szCs w:val="20"/>
        </w:rPr>
        <w:t>16.11</w:t>
      </w:r>
      <w:r w:rsidRPr="00EE469E">
        <w:rPr>
          <w:rFonts w:ascii="Times New Roman" w:hAnsi="Times New Roman"/>
          <w:noProof/>
          <w:sz w:val="20"/>
          <w:szCs w:val="20"/>
        </w:rPr>
        <w:t>.2011</w:t>
      </w:r>
      <w:r w:rsidRPr="00EE469E">
        <w:rPr>
          <w:rFonts w:ascii="Times New Roman" w:hAnsi="Times New Roman"/>
          <w:sz w:val="20"/>
          <w:szCs w:val="20"/>
        </w:rPr>
        <w:t xml:space="preserve">. 10:11 </w:t>
      </w:r>
    </w:p>
    <w:p w:rsidR="002C3DAC" w:rsidRDefault="002C3DAC" w:rsidP="00071A1A">
      <w:pPr>
        <w:spacing w:line="240" w:lineRule="auto"/>
        <w:jc w:val="both"/>
        <w:rPr>
          <w:rFonts w:ascii="Times New Roman" w:hAnsi="Times New Roman"/>
          <w:sz w:val="20"/>
          <w:szCs w:val="20"/>
        </w:rPr>
      </w:pPr>
      <w:r>
        <w:rPr>
          <w:rFonts w:ascii="Times New Roman" w:hAnsi="Times New Roman"/>
          <w:sz w:val="20"/>
          <w:szCs w:val="20"/>
        </w:rPr>
        <w:t>847</w:t>
      </w:r>
    </w:p>
    <w:p w:rsidR="002C3DAC" w:rsidRPr="00EE469E" w:rsidRDefault="002C3DAC" w:rsidP="00071A1A">
      <w:pPr>
        <w:spacing w:line="240" w:lineRule="auto"/>
        <w:jc w:val="both"/>
        <w:rPr>
          <w:rFonts w:ascii="Times New Roman" w:hAnsi="Times New Roman"/>
          <w:sz w:val="20"/>
          <w:szCs w:val="20"/>
        </w:rPr>
      </w:pPr>
      <w:r w:rsidRPr="00EE469E">
        <w:rPr>
          <w:rFonts w:ascii="Times New Roman" w:hAnsi="Times New Roman"/>
          <w:sz w:val="20"/>
          <w:szCs w:val="20"/>
        </w:rPr>
        <w:t>I.Girucka; 67028381</w:t>
      </w:r>
    </w:p>
    <w:p w:rsidR="002C3DAC" w:rsidRDefault="002C3DAC" w:rsidP="00071A1A">
      <w:pPr>
        <w:spacing w:line="240" w:lineRule="auto"/>
        <w:jc w:val="both"/>
        <w:rPr>
          <w:rFonts w:ascii="Times New Roman" w:hAnsi="Times New Roman"/>
          <w:sz w:val="20"/>
          <w:szCs w:val="20"/>
        </w:rPr>
      </w:pPr>
      <w:hyperlink r:id="rId6" w:history="1">
        <w:r w:rsidRPr="00EE469E">
          <w:rPr>
            <w:rStyle w:val="Hyperlink"/>
            <w:rFonts w:ascii="Times New Roman" w:hAnsi="Times New Roman"/>
            <w:sz w:val="20"/>
            <w:szCs w:val="20"/>
          </w:rPr>
          <w:t>iveta.girucka@sam.gov.lv</w:t>
        </w:r>
      </w:hyperlink>
    </w:p>
    <w:p w:rsidR="002C3DAC" w:rsidRPr="00EE469E" w:rsidRDefault="002C3DAC" w:rsidP="00071A1A">
      <w:pPr>
        <w:spacing w:line="240" w:lineRule="auto"/>
        <w:jc w:val="both"/>
        <w:rPr>
          <w:rFonts w:ascii="Times New Roman" w:hAnsi="Times New Roman"/>
          <w:sz w:val="20"/>
          <w:szCs w:val="20"/>
        </w:rPr>
      </w:pPr>
      <w:r w:rsidRPr="00EE469E">
        <w:rPr>
          <w:rFonts w:ascii="Times New Roman" w:hAnsi="Times New Roman"/>
          <w:sz w:val="20"/>
          <w:szCs w:val="20"/>
        </w:rPr>
        <w:t>V.Leonova; 67686492</w:t>
      </w:r>
    </w:p>
    <w:p w:rsidR="002C3DAC" w:rsidRPr="00EE469E" w:rsidRDefault="002C3DAC" w:rsidP="00071A1A">
      <w:pPr>
        <w:spacing w:line="240" w:lineRule="auto"/>
        <w:jc w:val="both"/>
        <w:rPr>
          <w:rFonts w:ascii="Times New Roman" w:hAnsi="Times New Roman"/>
          <w:sz w:val="20"/>
          <w:szCs w:val="20"/>
        </w:rPr>
      </w:pPr>
      <w:r w:rsidRPr="00EE469E">
        <w:rPr>
          <w:rFonts w:ascii="Times New Roman" w:hAnsi="Times New Roman"/>
          <w:sz w:val="20"/>
          <w:szCs w:val="20"/>
        </w:rPr>
        <w:t xml:space="preserve">vizma.leonova@atd.lv </w:t>
      </w:r>
    </w:p>
    <w:sectPr w:rsidR="002C3DAC" w:rsidRPr="00EE469E" w:rsidSect="00EB511B">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DAC" w:rsidRDefault="002C3DAC">
      <w:pPr>
        <w:spacing w:line="240" w:lineRule="auto"/>
      </w:pPr>
      <w:r>
        <w:separator/>
      </w:r>
    </w:p>
  </w:endnote>
  <w:endnote w:type="continuationSeparator" w:id="0">
    <w:p w:rsidR="002C3DAC" w:rsidRDefault="002C3D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AC" w:rsidRPr="007F3E2B" w:rsidRDefault="002C3DAC" w:rsidP="007F3E2B">
    <w:pPr>
      <w:pStyle w:val="Footer"/>
      <w:spacing w:line="240" w:lineRule="auto"/>
      <w:jc w:val="both"/>
      <w:rPr>
        <w:rFonts w:ascii="Times New Roman" w:hAnsi="Times New Roman"/>
        <w:sz w:val="18"/>
        <w:szCs w:val="18"/>
      </w:rPr>
    </w:pPr>
    <w:r w:rsidRPr="007F3E2B">
      <w:rPr>
        <w:rFonts w:ascii="Times New Roman" w:hAnsi="Times New Roman"/>
        <w:sz w:val="18"/>
        <w:szCs w:val="18"/>
      </w:rPr>
      <w:t>SAManot_</w:t>
    </w:r>
    <w:r>
      <w:rPr>
        <w:rFonts w:ascii="Times New Roman" w:hAnsi="Times New Roman"/>
        <w:sz w:val="18"/>
        <w:szCs w:val="18"/>
      </w:rPr>
      <w:t>161111</w:t>
    </w:r>
    <w:r w:rsidRPr="007F3E2B">
      <w:rPr>
        <w:rFonts w:ascii="Times New Roman" w:hAnsi="Times New Roman"/>
        <w:sz w:val="18"/>
        <w:szCs w:val="18"/>
      </w:rPr>
      <w:t>_sad</w:t>
    </w:r>
    <w:r>
      <w:rPr>
        <w:rFonts w:ascii="Times New Roman" w:hAnsi="Times New Roman"/>
        <w:sz w:val="18"/>
        <w:szCs w:val="18"/>
      </w:rPr>
      <w:t>_</w:t>
    </w:r>
    <w:r w:rsidRPr="007F3E2B">
      <w:rPr>
        <w:rFonts w:ascii="Times New Roman" w:hAnsi="Times New Roman"/>
        <w:sz w:val="18"/>
        <w:szCs w:val="18"/>
      </w:rPr>
      <w:t>met; Ministru kabineta noteikumu projekt</w:t>
    </w:r>
    <w:r>
      <w:rPr>
        <w:rFonts w:ascii="Times New Roman" w:hAnsi="Times New Roman"/>
        <w:sz w:val="18"/>
        <w:szCs w:val="18"/>
      </w:rPr>
      <w:t>a</w:t>
    </w:r>
    <w:r w:rsidRPr="007F3E2B">
      <w:rPr>
        <w:rFonts w:ascii="Times New Roman" w:hAnsi="Times New Roman"/>
        <w:sz w:val="18"/>
        <w:szCs w:val="18"/>
      </w:rPr>
      <w:t xml:space="preserve"> „Kārtība, kādā valsts budžetā sabiedriskā transporta pakalpojumu nodrošināšanai reģionālajos vietējās nozīmes maršrutos paredzētos līdzekļus sadala starp plānošanas reģioniem” sākotnējās ietekmes novērtējuma </w:t>
    </w:r>
    <w:smartTag w:uri="schemas-tilde-lv/tildestengine" w:element="veidnes">
      <w:smartTagPr>
        <w:attr w:name="id" w:val="-1"/>
        <w:attr w:name="baseform" w:val="ziņojums"/>
        <w:attr w:name="text" w:val="ziņojums"/>
      </w:smartTagPr>
      <w:r w:rsidRPr="007F3E2B">
        <w:rPr>
          <w:rFonts w:ascii="Times New Roman" w:hAnsi="Times New Roman"/>
          <w:sz w:val="18"/>
          <w:szCs w:val="18"/>
        </w:rPr>
        <w:t>ziņojums</w:t>
      </w:r>
    </w:smartTag>
    <w:r w:rsidRPr="007F3E2B">
      <w:rPr>
        <w:rFonts w:ascii="Times New Roman" w:hAnsi="Times New Roman"/>
        <w:sz w:val="18"/>
        <w:szCs w:val="18"/>
      </w:rPr>
      <w:t xml:space="preserve"> (anotācija)</w:t>
    </w:r>
  </w:p>
  <w:p w:rsidR="002C3DAC" w:rsidRDefault="002C3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AC" w:rsidRPr="007F3E2B" w:rsidRDefault="002C3DAC" w:rsidP="007F3E2B">
    <w:pPr>
      <w:pStyle w:val="Footer"/>
      <w:spacing w:line="240" w:lineRule="auto"/>
      <w:jc w:val="both"/>
      <w:rPr>
        <w:rFonts w:ascii="Times New Roman" w:hAnsi="Times New Roman"/>
        <w:sz w:val="18"/>
        <w:szCs w:val="18"/>
      </w:rPr>
    </w:pPr>
    <w:r w:rsidRPr="007F3E2B">
      <w:rPr>
        <w:rFonts w:ascii="Times New Roman" w:hAnsi="Times New Roman"/>
        <w:sz w:val="18"/>
        <w:szCs w:val="18"/>
      </w:rPr>
      <w:t>SAManot_</w:t>
    </w:r>
    <w:r>
      <w:rPr>
        <w:rFonts w:ascii="Times New Roman" w:hAnsi="Times New Roman"/>
        <w:sz w:val="18"/>
        <w:szCs w:val="18"/>
      </w:rPr>
      <w:t>161111</w:t>
    </w:r>
    <w:r w:rsidRPr="007F3E2B">
      <w:rPr>
        <w:rFonts w:ascii="Times New Roman" w:hAnsi="Times New Roman"/>
        <w:sz w:val="18"/>
        <w:szCs w:val="18"/>
      </w:rPr>
      <w:t>_sad</w:t>
    </w:r>
    <w:r>
      <w:rPr>
        <w:rFonts w:ascii="Times New Roman" w:hAnsi="Times New Roman"/>
        <w:sz w:val="18"/>
        <w:szCs w:val="18"/>
      </w:rPr>
      <w:t>_</w:t>
    </w:r>
    <w:r w:rsidRPr="007F3E2B">
      <w:rPr>
        <w:rFonts w:ascii="Times New Roman" w:hAnsi="Times New Roman"/>
        <w:sz w:val="18"/>
        <w:szCs w:val="18"/>
      </w:rPr>
      <w:t>met; Ministru kabineta noteikumu projekt</w:t>
    </w:r>
    <w:r>
      <w:rPr>
        <w:rFonts w:ascii="Times New Roman" w:hAnsi="Times New Roman"/>
        <w:sz w:val="18"/>
        <w:szCs w:val="18"/>
      </w:rPr>
      <w:t>a</w:t>
    </w:r>
    <w:r w:rsidRPr="007F3E2B">
      <w:rPr>
        <w:rFonts w:ascii="Times New Roman" w:hAnsi="Times New Roman"/>
        <w:sz w:val="18"/>
        <w:szCs w:val="18"/>
      </w:rPr>
      <w:t xml:space="preserve"> „Kārtība, kādā valsts budžetā sabiedriskā transporta pakalpojumu nodrošināšanai reģionālajos vietējās nozīmes maršrutos paredzētos līdzekļus sadala starp plānošanas reģioniem” sākotnējās ietekmes novērtējuma </w:t>
    </w:r>
    <w:smartTag w:uri="schemas-tilde-lv/tildestengine" w:element="veidnes">
      <w:smartTagPr>
        <w:attr w:name="id" w:val="-1"/>
        <w:attr w:name="baseform" w:val="ziņojums"/>
        <w:attr w:name="text" w:val="ziņojums"/>
      </w:smartTagPr>
      <w:r w:rsidRPr="007F3E2B">
        <w:rPr>
          <w:rFonts w:ascii="Times New Roman" w:hAnsi="Times New Roman"/>
          <w:sz w:val="18"/>
          <w:szCs w:val="18"/>
        </w:rPr>
        <w:t>ziņojums</w:t>
      </w:r>
    </w:smartTag>
    <w:r w:rsidRPr="007F3E2B">
      <w:rPr>
        <w:rFonts w:ascii="Times New Roman" w:hAnsi="Times New Roman"/>
        <w:sz w:val="18"/>
        <w:szCs w:val="18"/>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DAC" w:rsidRDefault="002C3DAC">
      <w:pPr>
        <w:spacing w:line="240" w:lineRule="auto"/>
      </w:pPr>
      <w:r>
        <w:separator/>
      </w:r>
    </w:p>
  </w:footnote>
  <w:footnote w:type="continuationSeparator" w:id="0">
    <w:p w:rsidR="002C3DAC" w:rsidRDefault="002C3D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AC" w:rsidRPr="00EB511B" w:rsidRDefault="002C3DAC">
    <w:pPr>
      <w:pStyle w:val="Header"/>
      <w:rPr>
        <w:rFonts w:ascii="Times New Roman" w:hAnsi="Times New Roman"/>
      </w:rPr>
    </w:pPr>
    <w:r w:rsidRPr="00EB511B">
      <w:rPr>
        <w:rFonts w:ascii="Times New Roman" w:hAnsi="Times New Roman"/>
      </w:rPr>
      <w:fldChar w:fldCharType="begin"/>
    </w:r>
    <w:r w:rsidRPr="00EB511B">
      <w:rPr>
        <w:rFonts w:ascii="Times New Roman" w:hAnsi="Times New Roman"/>
      </w:rPr>
      <w:instrText xml:space="preserve"> PAGE   \* MERGEFORMAT </w:instrText>
    </w:r>
    <w:r w:rsidRPr="00EB511B">
      <w:rPr>
        <w:rFonts w:ascii="Times New Roman" w:hAnsi="Times New Roman"/>
      </w:rPr>
      <w:fldChar w:fldCharType="separate"/>
    </w:r>
    <w:r>
      <w:rPr>
        <w:rFonts w:ascii="Times New Roman" w:hAnsi="Times New Roman"/>
        <w:noProof/>
      </w:rPr>
      <w:t>4</w:t>
    </w:r>
    <w:r w:rsidRPr="00EB511B">
      <w:rPr>
        <w:rFonts w:ascii="Times New Roman" w:hAnsi="Times New Roman"/>
      </w:rPr>
      <w:fldChar w:fldCharType="end"/>
    </w:r>
  </w:p>
  <w:p w:rsidR="002C3DAC" w:rsidRDefault="002C3D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C82"/>
    <w:rsid w:val="000127B1"/>
    <w:rsid w:val="00031BC7"/>
    <w:rsid w:val="000373FE"/>
    <w:rsid w:val="00054A54"/>
    <w:rsid w:val="00071A1A"/>
    <w:rsid w:val="00082BFD"/>
    <w:rsid w:val="000B09E3"/>
    <w:rsid w:val="000B19F6"/>
    <w:rsid w:val="000B6CCF"/>
    <w:rsid w:val="000D31D7"/>
    <w:rsid w:val="0012092C"/>
    <w:rsid w:val="00142BE4"/>
    <w:rsid w:val="00155039"/>
    <w:rsid w:val="00171BA6"/>
    <w:rsid w:val="002020E0"/>
    <w:rsid w:val="002627C5"/>
    <w:rsid w:val="00262B00"/>
    <w:rsid w:val="002B06E8"/>
    <w:rsid w:val="002C3DAC"/>
    <w:rsid w:val="002C561E"/>
    <w:rsid w:val="002D2969"/>
    <w:rsid w:val="002F2213"/>
    <w:rsid w:val="00327E80"/>
    <w:rsid w:val="0037271B"/>
    <w:rsid w:val="003C5C1E"/>
    <w:rsid w:val="00490AC7"/>
    <w:rsid w:val="004B7319"/>
    <w:rsid w:val="004C4209"/>
    <w:rsid w:val="004D020D"/>
    <w:rsid w:val="004F660D"/>
    <w:rsid w:val="005159E2"/>
    <w:rsid w:val="00526372"/>
    <w:rsid w:val="0059431E"/>
    <w:rsid w:val="00605B74"/>
    <w:rsid w:val="006245AD"/>
    <w:rsid w:val="00636692"/>
    <w:rsid w:val="006470EF"/>
    <w:rsid w:val="006528F4"/>
    <w:rsid w:val="007610BD"/>
    <w:rsid w:val="007614E2"/>
    <w:rsid w:val="007C0780"/>
    <w:rsid w:val="007F3E2B"/>
    <w:rsid w:val="0080462B"/>
    <w:rsid w:val="008F14BA"/>
    <w:rsid w:val="00906D13"/>
    <w:rsid w:val="009A7BBD"/>
    <w:rsid w:val="009B0002"/>
    <w:rsid w:val="009C2627"/>
    <w:rsid w:val="009D20A5"/>
    <w:rsid w:val="00A21FE5"/>
    <w:rsid w:val="00A601AC"/>
    <w:rsid w:val="00A9474F"/>
    <w:rsid w:val="00B45D44"/>
    <w:rsid w:val="00BB2734"/>
    <w:rsid w:val="00BE5EEA"/>
    <w:rsid w:val="00CD530B"/>
    <w:rsid w:val="00D15959"/>
    <w:rsid w:val="00DC75E1"/>
    <w:rsid w:val="00DF116F"/>
    <w:rsid w:val="00E2735F"/>
    <w:rsid w:val="00EB511B"/>
    <w:rsid w:val="00ED2D54"/>
    <w:rsid w:val="00ED7A59"/>
    <w:rsid w:val="00EE469E"/>
    <w:rsid w:val="00EE726A"/>
    <w:rsid w:val="00EF6143"/>
    <w:rsid w:val="00F00142"/>
    <w:rsid w:val="00F13DEB"/>
    <w:rsid w:val="00F868AE"/>
    <w:rsid w:val="00F8794F"/>
    <w:rsid w:val="00FC57AC"/>
    <w:rsid w:val="00FC6C82"/>
    <w:rsid w:val="00FE467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82"/>
    <w:pPr>
      <w:spacing w:line="360"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6C82"/>
    <w:pPr>
      <w:tabs>
        <w:tab w:val="center" w:pos="4153"/>
        <w:tab w:val="right" w:pos="8306"/>
      </w:tabs>
    </w:pPr>
  </w:style>
  <w:style w:type="character" w:customStyle="1" w:styleId="HeaderChar">
    <w:name w:val="Header Char"/>
    <w:basedOn w:val="DefaultParagraphFont"/>
    <w:link w:val="Header"/>
    <w:uiPriority w:val="99"/>
    <w:locked/>
    <w:rsid w:val="00FC6C82"/>
    <w:rPr>
      <w:rFonts w:ascii="Calibri" w:hAnsi="Calibri" w:cs="Times New Roman"/>
    </w:rPr>
  </w:style>
  <w:style w:type="paragraph" w:styleId="Footer">
    <w:name w:val="footer"/>
    <w:basedOn w:val="Normal"/>
    <w:link w:val="FooterChar"/>
    <w:uiPriority w:val="99"/>
    <w:rsid w:val="00FC6C82"/>
    <w:pPr>
      <w:tabs>
        <w:tab w:val="center" w:pos="4153"/>
        <w:tab w:val="right" w:pos="8306"/>
      </w:tabs>
    </w:pPr>
  </w:style>
  <w:style w:type="character" w:customStyle="1" w:styleId="FooterChar">
    <w:name w:val="Footer Char"/>
    <w:basedOn w:val="DefaultParagraphFont"/>
    <w:link w:val="Footer"/>
    <w:uiPriority w:val="99"/>
    <w:locked/>
    <w:rsid w:val="00FC6C82"/>
    <w:rPr>
      <w:rFonts w:ascii="Calibri" w:hAnsi="Calibri" w:cs="Times New Roman"/>
    </w:rPr>
  </w:style>
  <w:style w:type="character" w:styleId="Hyperlink">
    <w:name w:val="Hyperlink"/>
    <w:basedOn w:val="DefaultParagraphFont"/>
    <w:uiPriority w:val="99"/>
    <w:semiHidden/>
    <w:rsid w:val="00FC6C82"/>
    <w:rPr>
      <w:rFonts w:cs="Times New Roman"/>
      <w:color w:val="0000FF"/>
      <w:u w:val="single"/>
    </w:rPr>
  </w:style>
  <w:style w:type="paragraph" w:customStyle="1" w:styleId="naiskr">
    <w:name w:val="naiskr"/>
    <w:basedOn w:val="Normal"/>
    <w:uiPriority w:val="99"/>
    <w:rsid w:val="00FC6C82"/>
    <w:pPr>
      <w:spacing w:before="75" w:after="75" w:line="240" w:lineRule="auto"/>
      <w:jc w:val="left"/>
    </w:pPr>
    <w:rPr>
      <w:rFonts w:ascii="Times New Roman" w:hAnsi="Times New Roman"/>
      <w:sz w:val="24"/>
      <w:szCs w:val="24"/>
      <w:lang w:eastAsia="lv-LV"/>
    </w:rPr>
  </w:style>
  <w:style w:type="paragraph" w:customStyle="1" w:styleId="naisf">
    <w:name w:val="naisf"/>
    <w:basedOn w:val="Normal"/>
    <w:uiPriority w:val="99"/>
    <w:rsid w:val="00FC6C82"/>
    <w:pPr>
      <w:spacing w:before="75" w:after="75" w:line="240" w:lineRule="auto"/>
      <w:ind w:firstLine="375"/>
      <w:jc w:val="both"/>
    </w:pPr>
    <w:rPr>
      <w:rFonts w:ascii="Times New Roman" w:hAnsi="Times New Roman"/>
      <w:sz w:val="24"/>
      <w:szCs w:val="24"/>
      <w:lang w:eastAsia="lv-LV"/>
    </w:rPr>
  </w:style>
  <w:style w:type="paragraph" w:customStyle="1" w:styleId="StyleRight">
    <w:name w:val="Style Right"/>
    <w:basedOn w:val="Normal"/>
    <w:uiPriority w:val="99"/>
    <w:rsid w:val="00FC6C82"/>
    <w:pPr>
      <w:spacing w:after="120" w:line="240" w:lineRule="auto"/>
      <w:ind w:firstLine="720"/>
      <w:jc w:val="right"/>
    </w:pPr>
    <w:rPr>
      <w:rFonts w:ascii="Times New Roman" w:hAnsi="Times New Roman"/>
      <w:sz w:val="28"/>
      <w:szCs w:val="28"/>
    </w:rPr>
  </w:style>
  <w:style w:type="character" w:styleId="CommentReference">
    <w:name w:val="annotation reference"/>
    <w:basedOn w:val="DefaultParagraphFont"/>
    <w:uiPriority w:val="99"/>
    <w:semiHidden/>
    <w:rsid w:val="00082BFD"/>
    <w:rPr>
      <w:rFonts w:cs="Times New Roman"/>
      <w:sz w:val="16"/>
      <w:szCs w:val="16"/>
    </w:rPr>
  </w:style>
  <w:style w:type="paragraph" w:styleId="CommentText">
    <w:name w:val="annotation text"/>
    <w:basedOn w:val="Normal"/>
    <w:link w:val="CommentTextChar"/>
    <w:uiPriority w:val="99"/>
    <w:semiHidden/>
    <w:rsid w:val="00082BF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2BF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082BFD"/>
    <w:rPr>
      <w:b/>
      <w:bCs/>
    </w:rPr>
  </w:style>
  <w:style w:type="character" w:customStyle="1" w:styleId="CommentSubjectChar">
    <w:name w:val="Comment Subject Char"/>
    <w:basedOn w:val="CommentTextChar"/>
    <w:link w:val="CommentSubject"/>
    <w:uiPriority w:val="99"/>
    <w:semiHidden/>
    <w:locked/>
    <w:rsid w:val="00082BFD"/>
    <w:rPr>
      <w:b/>
      <w:bCs/>
    </w:rPr>
  </w:style>
  <w:style w:type="paragraph" w:styleId="BalloonText">
    <w:name w:val="Balloon Text"/>
    <w:basedOn w:val="Normal"/>
    <w:link w:val="BalloonTextChar"/>
    <w:uiPriority w:val="99"/>
    <w:semiHidden/>
    <w:rsid w:val="00082B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44041">
      <w:marLeft w:val="0"/>
      <w:marRight w:val="0"/>
      <w:marTop w:val="0"/>
      <w:marBottom w:val="0"/>
      <w:divBdr>
        <w:top w:val="none" w:sz="0" w:space="0" w:color="auto"/>
        <w:left w:val="none" w:sz="0" w:space="0" w:color="auto"/>
        <w:bottom w:val="none" w:sz="0" w:space="0" w:color="auto"/>
        <w:right w:val="none" w:sz="0" w:space="0" w:color="auto"/>
      </w:divBdr>
    </w:div>
    <w:div w:id="83844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eta.girucka@s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847</Words>
  <Characters>6379</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budžetā sabiedriskā transporta pakalpojumu nodrošināšanai reģionālajos vietējās nozīmes maršrutos paredzētos līdzekļus sadala starp plānošanas reģioniem</dc:title>
  <dc:subject>anotācija</dc:subject>
  <dc:creator>A.Lubāns</dc:creator>
  <cp:keywords/>
  <dc:description>A.Lubāns, 67028214 andris.lubans@sam.gov.lv</dc:description>
  <cp:lastModifiedBy>bsterna</cp:lastModifiedBy>
  <cp:revision>6</cp:revision>
  <cp:lastPrinted>2011-09-26T08:18:00Z</cp:lastPrinted>
  <dcterms:created xsi:type="dcterms:W3CDTF">2011-11-10T08:47:00Z</dcterms:created>
  <dcterms:modified xsi:type="dcterms:W3CDTF">2011-12-16T12:18:00Z</dcterms:modified>
</cp:coreProperties>
</file>